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83" w:rsidRPr="00093428" w:rsidRDefault="00201086" w:rsidP="00097088">
      <w:pPr>
        <w:tabs>
          <w:tab w:val="right" w:pos="9214"/>
        </w:tabs>
        <w:spacing w:after="120" w:line="312" w:lineRule="auto"/>
        <w:jc w:val="center"/>
        <w:outlineLvl w:val="2"/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tr-TR"/>
        </w:rPr>
      </w:pPr>
      <w:r w:rsidRPr="00093428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tr-TR"/>
        </w:rPr>
        <w:tab/>
      </w:r>
    </w:p>
    <w:p w:rsidR="00023C54" w:rsidRPr="00093428" w:rsidRDefault="00023C54" w:rsidP="00023C54">
      <w:pPr>
        <w:pStyle w:val="bodytext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  <w:color w:val="1F497D"/>
        </w:rPr>
      </w:pPr>
    </w:p>
    <w:p w:rsidR="00097088" w:rsidRPr="00093428" w:rsidRDefault="00097088" w:rsidP="00023C54">
      <w:pPr>
        <w:pStyle w:val="bodytext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  <w:color w:val="1F497D"/>
        </w:rPr>
      </w:pPr>
      <w:r w:rsidRPr="00093428">
        <w:rPr>
          <w:rFonts w:asciiTheme="majorHAnsi" w:hAnsiTheme="majorHAnsi" w:cs="Calibri"/>
          <w:b/>
          <w:bCs/>
          <w:color w:val="1F497D"/>
        </w:rPr>
        <w:t>VERGİ SİRKÜLERİ</w:t>
      </w:r>
    </w:p>
    <w:p w:rsidR="00023C54" w:rsidRPr="00093428" w:rsidRDefault="00023C54" w:rsidP="00023C54">
      <w:pPr>
        <w:pStyle w:val="bodytext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  <w:color w:val="1F497D"/>
        </w:rPr>
      </w:pPr>
    </w:p>
    <w:p w:rsidR="00097088" w:rsidRPr="00093428" w:rsidRDefault="001C1E63" w:rsidP="00A01803">
      <w:pPr>
        <w:pStyle w:val="bodytext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Calibri"/>
          <w:b/>
          <w:bCs/>
          <w:color w:val="1F497D"/>
        </w:rPr>
      </w:pPr>
      <w:r>
        <w:rPr>
          <w:rFonts w:asciiTheme="majorHAnsi" w:hAnsiTheme="majorHAnsi" w:cs="Calibri"/>
          <w:b/>
          <w:bCs/>
          <w:color w:val="1F497D"/>
        </w:rPr>
        <w:t>Sayı</w:t>
      </w:r>
      <w:r>
        <w:rPr>
          <w:rFonts w:asciiTheme="majorHAnsi" w:hAnsiTheme="majorHAnsi" w:cs="Calibri"/>
          <w:b/>
          <w:bCs/>
          <w:color w:val="1F497D"/>
        </w:rPr>
        <w:tab/>
      </w:r>
      <w:r>
        <w:rPr>
          <w:rFonts w:asciiTheme="majorHAnsi" w:hAnsiTheme="majorHAnsi" w:cs="Calibri"/>
          <w:b/>
          <w:bCs/>
          <w:color w:val="1F497D"/>
        </w:rPr>
        <w:tab/>
        <w:t>: 2019-002</w:t>
      </w:r>
    </w:p>
    <w:p w:rsidR="00097088" w:rsidRPr="00093428" w:rsidRDefault="00097088" w:rsidP="00A01803">
      <w:pPr>
        <w:pStyle w:val="bodytext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Calibri"/>
          <w:b/>
          <w:bCs/>
          <w:color w:val="1F497D"/>
        </w:rPr>
      </w:pPr>
      <w:r w:rsidRPr="00093428">
        <w:rPr>
          <w:rFonts w:asciiTheme="majorHAnsi" w:hAnsiTheme="majorHAnsi" w:cs="Calibri"/>
          <w:b/>
          <w:bCs/>
          <w:color w:val="1F497D"/>
        </w:rPr>
        <w:t>Tarih</w:t>
      </w:r>
      <w:r w:rsidRPr="00093428">
        <w:rPr>
          <w:rFonts w:asciiTheme="majorHAnsi" w:hAnsiTheme="majorHAnsi" w:cs="Calibri"/>
          <w:b/>
          <w:bCs/>
          <w:color w:val="1F497D"/>
        </w:rPr>
        <w:tab/>
      </w:r>
      <w:r w:rsidRPr="00093428">
        <w:rPr>
          <w:rFonts w:asciiTheme="majorHAnsi" w:hAnsiTheme="majorHAnsi" w:cs="Calibri"/>
          <w:b/>
          <w:bCs/>
          <w:color w:val="1F497D"/>
        </w:rPr>
        <w:tab/>
        <w:t xml:space="preserve">: </w:t>
      </w:r>
      <w:r w:rsidR="001C1E63">
        <w:rPr>
          <w:rFonts w:asciiTheme="majorHAnsi" w:hAnsiTheme="majorHAnsi" w:cs="Calibri"/>
          <w:b/>
          <w:bCs/>
          <w:color w:val="1F497D"/>
        </w:rPr>
        <w:t>30</w:t>
      </w:r>
      <w:r w:rsidR="000E66C3">
        <w:rPr>
          <w:rFonts w:asciiTheme="majorHAnsi" w:hAnsiTheme="majorHAnsi" w:cs="Calibri"/>
          <w:b/>
          <w:bCs/>
          <w:color w:val="1F497D"/>
        </w:rPr>
        <w:t>.01.2019</w:t>
      </w:r>
    </w:p>
    <w:p w:rsidR="001C1E63" w:rsidRDefault="00097088" w:rsidP="00950A69">
      <w:pPr>
        <w:pStyle w:val="bodytext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Calibri"/>
          <w:b/>
          <w:bCs/>
          <w:color w:val="1F497D"/>
        </w:rPr>
      </w:pPr>
      <w:r w:rsidRPr="00093428">
        <w:rPr>
          <w:rFonts w:asciiTheme="majorHAnsi" w:hAnsiTheme="majorHAnsi" w:cs="Calibri"/>
          <w:b/>
          <w:bCs/>
          <w:color w:val="1F497D"/>
        </w:rPr>
        <w:t>Konu</w:t>
      </w:r>
      <w:r w:rsidRPr="00093428">
        <w:rPr>
          <w:rFonts w:asciiTheme="majorHAnsi" w:hAnsiTheme="majorHAnsi" w:cs="Calibri"/>
          <w:b/>
          <w:bCs/>
          <w:color w:val="1F497D"/>
        </w:rPr>
        <w:tab/>
      </w:r>
      <w:r w:rsidRPr="00093428">
        <w:rPr>
          <w:rFonts w:asciiTheme="majorHAnsi" w:hAnsiTheme="majorHAnsi" w:cs="Calibri"/>
          <w:b/>
          <w:bCs/>
          <w:color w:val="1F497D"/>
        </w:rPr>
        <w:tab/>
        <w:t xml:space="preserve">: </w:t>
      </w:r>
      <w:r w:rsidR="001C1E63">
        <w:rPr>
          <w:rFonts w:asciiTheme="majorHAnsi" w:hAnsiTheme="majorHAnsi" w:cs="Calibri"/>
          <w:b/>
          <w:bCs/>
          <w:color w:val="1F497D"/>
        </w:rPr>
        <w:t xml:space="preserve">Hesap Planlarında 191-İndirilecek KDV ve 391 Hesaplanan KDV </w:t>
      </w:r>
    </w:p>
    <w:p w:rsidR="00950A69" w:rsidRPr="00093428" w:rsidRDefault="001C1E63" w:rsidP="001C1E63">
      <w:pPr>
        <w:pStyle w:val="bodytext"/>
        <w:shd w:val="clear" w:color="auto" w:fill="FFFFFF"/>
        <w:spacing w:before="0" w:beforeAutospacing="0" w:after="120" w:afterAutospacing="0"/>
        <w:ind w:left="708" w:firstLine="708"/>
        <w:jc w:val="both"/>
        <w:rPr>
          <w:rFonts w:asciiTheme="majorHAnsi" w:hAnsiTheme="majorHAnsi" w:cs="Calibri"/>
          <w:b/>
          <w:bCs/>
          <w:color w:val="1F497D"/>
        </w:rPr>
      </w:pPr>
      <w:r>
        <w:rPr>
          <w:rFonts w:asciiTheme="majorHAnsi" w:hAnsiTheme="majorHAnsi" w:cs="Calibri"/>
          <w:b/>
          <w:bCs/>
          <w:color w:val="1F497D"/>
        </w:rPr>
        <w:t xml:space="preserve">  Hesaplarında Yapılacak Değişiklikler</w:t>
      </w:r>
    </w:p>
    <w:p w:rsidR="00023C54" w:rsidRPr="00093428" w:rsidRDefault="00023C54" w:rsidP="00876504">
      <w:pPr>
        <w:pStyle w:val="bodytext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</w:rPr>
      </w:pPr>
    </w:p>
    <w:p w:rsidR="001C1E63" w:rsidRPr="001C1E63" w:rsidRDefault="001C1E63" w:rsidP="00A36CAB">
      <w:pPr>
        <w:spacing w:after="240" w:line="299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tr-TR"/>
        </w:rPr>
      </w:pP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28.12.2018 tarihli Vergi Sirkülerimizde açıkladığımız üzere, Gelir İdaresi Başkanlığı internet sitesinde yapmış olduğu duyuruda, KDV Beyannamelerinde “İndirilecek KDV” satırında değişikliğe gitmiş ve </w:t>
      </w:r>
      <w:r w:rsidRPr="001C1E63">
        <w:rPr>
          <w:rFonts w:asciiTheme="majorHAnsi" w:eastAsia="Times New Roman" w:hAnsiTheme="majorHAnsi" w:cs="Arial"/>
          <w:b/>
          <w:bCs/>
          <w:sz w:val="24"/>
          <w:szCs w:val="24"/>
          <w:lang w:eastAsia="tr-TR"/>
        </w:rPr>
        <w:t xml:space="preserve">"İndirimler" </w:t>
      </w:r>
      <w:r w:rsidRPr="001C1E63"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>tablosunda yer alan</w:t>
      </w:r>
      <w:r w:rsidRPr="001C1E63">
        <w:rPr>
          <w:rFonts w:asciiTheme="majorHAnsi" w:eastAsia="Times New Roman" w:hAnsiTheme="majorHAnsi" w:cs="Arial"/>
          <w:b/>
          <w:bCs/>
          <w:sz w:val="24"/>
          <w:szCs w:val="24"/>
          <w:lang w:eastAsia="tr-TR"/>
        </w:rPr>
        <w:t xml:space="preserve"> "102 - Bu Döneme Ait İndirilecek KDV" </w:t>
      </w:r>
      <w:r w:rsidRPr="001C1E63"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>satırı kaldırılarak</w:t>
      </w:r>
      <w:r w:rsidRPr="001C1E63">
        <w:rPr>
          <w:rFonts w:asciiTheme="majorHAnsi" w:eastAsia="Times New Roman" w:hAnsiTheme="majorHAnsi" w:cs="Arial"/>
          <w:b/>
          <w:bCs/>
          <w:sz w:val="24"/>
          <w:szCs w:val="24"/>
          <w:lang w:eastAsia="tr-TR"/>
        </w:rPr>
        <w:t>,</w:t>
      </w:r>
      <w:r w:rsidRPr="001C1E63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 bu kodda beyan edilen tutarların </w:t>
      </w:r>
      <w:r w:rsidRPr="001C1E63">
        <w:rPr>
          <w:rFonts w:asciiTheme="majorHAnsi" w:eastAsia="Times New Roman" w:hAnsiTheme="majorHAnsi" w:cs="Arial"/>
          <w:b/>
          <w:bCs/>
          <w:sz w:val="24"/>
          <w:szCs w:val="24"/>
          <w:lang w:eastAsia="tr-TR"/>
        </w:rPr>
        <w:t xml:space="preserve">"108 - Yurtiçi </w:t>
      </w:r>
      <w:proofErr w:type="spellStart"/>
      <w:r w:rsidRPr="001C1E63">
        <w:rPr>
          <w:rFonts w:asciiTheme="majorHAnsi" w:eastAsia="Times New Roman" w:hAnsiTheme="majorHAnsi" w:cs="Arial"/>
          <w:b/>
          <w:bCs/>
          <w:sz w:val="24"/>
          <w:szCs w:val="24"/>
          <w:lang w:eastAsia="tr-TR"/>
        </w:rPr>
        <w:t>Tevkifatsız</w:t>
      </w:r>
      <w:proofErr w:type="spellEnd"/>
      <w:r w:rsidRPr="001C1E63">
        <w:rPr>
          <w:rFonts w:asciiTheme="majorHAnsi" w:eastAsia="Times New Roman" w:hAnsiTheme="majorHAnsi" w:cs="Arial"/>
          <w:b/>
          <w:bCs/>
          <w:sz w:val="24"/>
          <w:szCs w:val="24"/>
          <w:lang w:eastAsia="tr-TR"/>
        </w:rPr>
        <w:t xml:space="preserve"> Alımlar Nedeniyle Ödenen KDV", "109 - Sorumlu Sıfatıyla Beyan Edilen KDV","110 - İthalde Ödenen KDV" </w:t>
      </w:r>
      <w:r w:rsidRPr="001C1E63"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>olarak 3 ayrı satır üzerinden beyan edilmesine yönelik değişiklik yapmıştır.</w:t>
      </w:r>
      <w:proofErr w:type="gramEnd"/>
    </w:p>
    <w:p w:rsidR="00E74E17" w:rsidRPr="00E74E17" w:rsidRDefault="00E74E17" w:rsidP="00E74E17">
      <w:pPr>
        <w:spacing w:after="240" w:line="299" w:lineRule="atLeast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tr-TR"/>
        </w:rPr>
      </w:pPr>
      <w:r w:rsidRPr="00E74E17"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>2019/Ocak ayından itibaren verilecek KDV Beyannamelerinde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tr-TR"/>
        </w:rPr>
        <w:t xml:space="preserve"> </w:t>
      </w:r>
      <w:r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>y</w:t>
      </w:r>
      <w:r w:rsidR="001C1E63"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>apılan bu değişikliğe uygun olarak</w:t>
      </w:r>
      <w:r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 xml:space="preserve"> şirketlerin </w:t>
      </w:r>
      <w:r w:rsidRPr="00E74E17">
        <w:rPr>
          <w:rFonts w:asciiTheme="majorHAnsi" w:eastAsia="Times New Roman" w:hAnsiTheme="majorHAnsi" w:cs="Arial"/>
          <w:b/>
          <w:bCs/>
          <w:sz w:val="24"/>
          <w:szCs w:val="24"/>
          <w:lang w:eastAsia="tr-TR"/>
        </w:rPr>
        <w:t>muhasebe hesap planlarında</w:t>
      </w:r>
      <w:r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 xml:space="preserve"> </w:t>
      </w:r>
      <w:r w:rsidRPr="00E74E17"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>“191-İndirilecek KDV”</w:t>
      </w:r>
      <w:r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 xml:space="preserve"> ve “391-Hesaplanan KDV” hesaplarının </w:t>
      </w:r>
      <w:r w:rsidRPr="00E74E17"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>aşağıdaki gibi oluşturulması</w:t>
      </w:r>
      <w:r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 xml:space="preserve">, takip ve kontrolün </w:t>
      </w:r>
      <w:r w:rsidR="00E6577E"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 xml:space="preserve">daha kolay </w:t>
      </w:r>
      <w:r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>yapılabilmesi açısından</w:t>
      </w:r>
      <w:r w:rsidRPr="00E74E17">
        <w:rPr>
          <w:rFonts w:asciiTheme="majorHAnsi" w:eastAsia="Times New Roman" w:hAnsiTheme="majorHAnsi" w:cs="Arial"/>
          <w:bCs/>
          <w:sz w:val="24"/>
          <w:szCs w:val="24"/>
          <w:lang w:eastAsia="tr-TR"/>
        </w:rPr>
        <w:t xml:space="preserve"> önem arz etmektedir. </w:t>
      </w:r>
    </w:p>
    <w:tbl>
      <w:tblPr>
        <w:tblW w:w="99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720"/>
        <w:gridCol w:w="4620"/>
        <w:gridCol w:w="1800"/>
        <w:gridCol w:w="1760"/>
      </w:tblGrid>
      <w:tr w:rsidR="00EC3B27" w:rsidRPr="00EC3B27" w:rsidTr="00EC3B2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HESAP KODU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HESAP ADI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DATAY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BEYANNAME SATIR KODU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191.01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İNDİRİLECEK KDV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ANA HESAP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191.01.01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%18 İndirilecek KDV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191.01.02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  8 İndirilecek KDV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191.01.03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  1 İndirilecek KDV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191.02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SORUMLU SIFATIYLA BEYAN EDİLEN KDV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ANA HESAP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109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191.02.01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TAM TEVKİFATLI İNDİRİLECEK KDV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2. ANA HESAP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191.02.01.01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%18 Tam </w:t>
            </w:r>
            <w:proofErr w:type="spellStart"/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Tevkifatlı</w:t>
            </w:r>
            <w:proofErr w:type="spellEnd"/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İndirilecek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191.02.01.02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  8 Tam </w:t>
            </w:r>
            <w:proofErr w:type="spellStart"/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Tevkifatlı</w:t>
            </w:r>
            <w:proofErr w:type="spellEnd"/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İndirilecek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191.02.01.03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  1 Tam </w:t>
            </w:r>
            <w:proofErr w:type="spellStart"/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Tevkifatlı</w:t>
            </w:r>
            <w:proofErr w:type="spellEnd"/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İndirilecek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191.02.02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KISMİ TEVKİFATLI İNDİRİLECEK KDV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2. ANA HESAP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191.02.02.01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3/10 İndirilecek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191.02.02.02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5/10 İndirilecek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191.02.02.03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7/10 İndirilecek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191.02.02.04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9/10 İndirilecek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191.03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İTHALATTA ÖDENEN KDV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ANA HESAP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110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191.03.01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%18 İthalatta Ödenen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191.03.02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%  8 İthalatta Ödenen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191.03.03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%  1 İthalatta Ödenen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191.04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SATIŞTAN İADE KDV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ANA HESAP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103</w:t>
            </w:r>
          </w:p>
        </w:tc>
      </w:tr>
      <w:tr w:rsidR="00EC3B27" w:rsidRPr="00EC3B27" w:rsidTr="00EC3B2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191.04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Satıştan İade İndirilecek KDV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7" w:rsidRPr="00EC3B27" w:rsidRDefault="00EC3B27" w:rsidP="00EC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E74E17" w:rsidRDefault="00E74E17" w:rsidP="00E74E17">
      <w:pPr>
        <w:pStyle w:val="ListeParagraf"/>
        <w:spacing w:after="120"/>
        <w:ind w:left="0" w:firstLine="708"/>
        <w:jc w:val="both"/>
        <w:rPr>
          <w:rFonts w:ascii="Arial" w:hAnsi="Arial" w:cs="Arial"/>
        </w:rPr>
      </w:pPr>
    </w:p>
    <w:p w:rsidR="00E74E17" w:rsidRPr="00D55EFB" w:rsidRDefault="00E74E17" w:rsidP="00D55EFB">
      <w:pPr>
        <w:pStyle w:val="ListeParagraf"/>
        <w:numPr>
          <w:ilvl w:val="0"/>
          <w:numId w:val="18"/>
        </w:numPr>
        <w:spacing w:after="24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  <w:t>103 Kodlu Satıştan İade Edilen, İşlemi Gerçekleşmeyen veya İşleminden Vazgeçilen Mal ve Hizmetler Nedeniyle İndirilmesi Gereken KDV Satırına;</w:t>
      </w:r>
    </w:p>
    <w:p w:rsidR="00E74E17" w:rsidRPr="00D55EFB" w:rsidRDefault="00E74E17" w:rsidP="00D55EFB">
      <w:pPr>
        <w:spacing w:after="24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Satılan mal ve hizmetlerin iadesine (610-Satıştan İadeler) ilişkin KDV, satışlara ilişkin olarak müşteri firma tarafından düzenlenen fiyat farklarına (611-Satış </w:t>
      </w:r>
      <w:proofErr w:type="spellStart"/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İskontoları</w:t>
      </w:r>
      <w:proofErr w:type="spellEnd"/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) ilişkin KDV ve satış matrahında meydana gelen diğer düzeltmelere (612-Diğer İndirimler; Reklamasyon, Kur Farkı v.b.) ilişkin KDV’nin bu satıra yazılması gerekir.</w:t>
      </w:r>
    </w:p>
    <w:p w:rsidR="00381608" w:rsidRDefault="00381608" w:rsidP="00E74E17">
      <w:pPr>
        <w:pStyle w:val="AralkYok"/>
        <w:ind w:firstLine="708"/>
        <w:jc w:val="both"/>
        <w:rPr>
          <w:rFonts w:ascii="Arial" w:hAnsi="Arial" w:cs="Arial"/>
          <w:sz w:val="20"/>
          <w:szCs w:val="20"/>
        </w:rPr>
      </w:pPr>
    </w:p>
    <w:p w:rsidR="00381608" w:rsidRDefault="00381608" w:rsidP="00E74E17">
      <w:pPr>
        <w:pStyle w:val="AralkYok"/>
        <w:ind w:firstLine="708"/>
        <w:jc w:val="both"/>
        <w:rPr>
          <w:rFonts w:ascii="Arial" w:hAnsi="Arial" w:cs="Arial"/>
          <w:sz w:val="20"/>
          <w:szCs w:val="20"/>
        </w:rPr>
      </w:pPr>
    </w:p>
    <w:p w:rsidR="00381608" w:rsidRDefault="00381608" w:rsidP="00E74E17">
      <w:pPr>
        <w:pStyle w:val="AralkYok"/>
        <w:ind w:firstLine="708"/>
        <w:jc w:val="both"/>
        <w:rPr>
          <w:rFonts w:ascii="Arial" w:hAnsi="Arial" w:cs="Arial"/>
          <w:sz w:val="20"/>
          <w:szCs w:val="20"/>
        </w:rPr>
      </w:pPr>
    </w:p>
    <w:p w:rsidR="00381608" w:rsidRDefault="00381608" w:rsidP="00E74E17">
      <w:pPr>
        <w:pStyle w:val="AralkYok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720"/>
        <w:gridCol w:w="4620"/>
        <w:gridCol w:w="1800"/>
        <w:gridCol w:w="1760"/>
      </w:tblGrid>
      <w:tr w:rsidR="00381608" w:rsidRPr="00381608" w:rsidTr="00381608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HESAP KODU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HESAP ADI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DATAY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BEYANNAME SATIR KODU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391.01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ANA HESAP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391.01.01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%18 Hesaplanan KDV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391.01.02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  8 Hesaplanan KDV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391.01.03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  1 Hesaplanan KDV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391.02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KISMI TEVKİFATLI HESAPLANAN KDV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ANA HESAP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391.02.01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3/10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391.02.02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5/10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391.02.03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7/10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391.02.04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9/10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391.03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DİĞER HESAPLANAN KDV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ANA HESAP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391.03.01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ATİK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2. ANA HESAP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503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391.03.01.01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%18 ATİK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391.03.01.02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%  8 ATİK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391.03.01.03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%  1 ATİK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391.03.02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ALIŞ İADE HESAPLANAN KDV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2. ANA HESAP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504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391.03.02.01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Alış İade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391.03.03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DİĞER HESAPLANAN KDV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2. ANA HESAP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550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391.03.03.01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Diğer Hesaplanan KDV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391.04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DAHA ÖNCE İNDİRİLEN KDV’NİN İLAVESİ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ANA HESAP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608" w:rsidRPr="00381608" w:rsidTr="0038160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391.04.01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Daha Önce İndirilen KDV’nin İlavesi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 Hesap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08" w:rsidRPr="00381608" w:rsidRDefault="00381608" w:rsidP="00381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E74E17" w:rsidRPr="00695822" w:rsidRDefault="00E74E17" w:rsidP="00E74E17">
      <w:pPr>
        <w:pStyle w:val="AralkYok"/>
        <w:ind w:firstLine="708"/>
        <w:rPr>
          <w:sz w:val="12"/>
          <w:szCs w:val="12"/>
        </w:rPr>
      </w:pPr>
    </w:p>
    <w:p w:rsidR="00381608" w:rsidRPr="00381608" w:rsidRDefault="00381608" w:rsidP="00381608">
      <w:pPr>
        <w:pStyle w:val="AralkYok"/>
        <w:ind w:left="720"/>
        <w:jc w:val="both"/>
        <w:rPr>
          <w:rStyle w:val="Gl"/>
          <w:rFonts w:ascii="Arial" w:hAnsi="Arial" w:cs="Arial"/>
          <w:b w:val="0"/>
          <w:bCs w:val="0"/>
          <w:sz w:val="20"/>
          <w:szCs w:val="20"/>
          <w:u w:val="single"/>
        </w:rPr>
      </w:pPr>
    </w:p>
    <w:p w:rsidR="00E74E17" w:rsidRPr="00D55EFB" w:rsidRDefault="00E74E17" w:rsidP="00D55EFB">
      <w:pPr>
        <w:pStyle w:val="ListeParagraf"/>
        <w:numPr>
          <w:ilvl w:val="0"/>
          <w:numId w:val="18"/>
        </w:numPr>
        <w:spacing w:after="240" w:line="299" w:lineRule="atLeast"/>
        <w:jc w:val="both"/>
        <w:textAlignment w:val="baseline"/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  <w:t xml:space="preserve">503 Kodlu Amortismana Tabi Sabit Kıymet </w:t>
      </w:r>
      <w:r w:rsidRPr="00D55EFB">
        <w:rPr>
          <w:rFonts w:asciiTheme="majorHAnsi" w:eastAsia="Times New Roman" w:hAnsiTheme="majorHAnsi"/>
          <w:bCs/>
          <w:color w:val="000000"/>
          <w:sz w:val="24"/>
          <w:szCs w:val="24"/>
          <w:lang w:eastAsia="tr-TR"/>
        </w:rPr>
        <w:t>(Taşınmaz, Taşıt Araçları, Demirbaş, Makine ve Teçhizat vb.)</w:t>
      </w:r>
      <w:r w:rsidRPr="00D55EFB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  <w:t xml:space="preserve"> Satışları Satırına; </w:t>
      </w:r>
    </w:p>
    <w:p w:rsidR="00E74E17" w:rsidRPr="00D55EFB" w:rsidRDefault="00E74E17" w:rsidP="00D55EFB">
      <w:pPr>
        <w:spacing w:after="24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Amortismana tabi sabit kıymet satışlarına ait matrah ve KDV tutarı KDV oranlarına göre bu satırlara ayrı </w:t>
      </w:r>
      <w:proofErr w:type="spellStart"/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ayrı</w:t>
      </w:r>
      <w:proofErr w:type="spellEnd"/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 yazılması gerekmektedir.</w:t>
      </w:r>
    </w:p>
    <w:p w:rsidR="00E74E17" w:rsidRPr="00D55EFB" w:rsidRDefault="00E74E17" w:rsidP="00D55EFB">
      <w:pPr>
        <w:pStyle w:val="ListeParagraf"/>
        <w:numPr>
          <w:ilvl w:val="0"/>
          <w:numId w:val="18"/>
        </w:numPr>
        <w:spacing w:after="240" w:line="299" w:lineRule="atLeast"/>
        <w:jc w:val="both"/>
        <w:textAlignment w:val="baseline"/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  <w:t>504 Kodlu Alınan Malların İadesi, Gerçekleşmeyen İşlemler Satırına;</w:t>
      </w:r>
    </w:p>
    <w:p w:rsidR="00E74E17" w:rsidRPr="00D55EFB" w:rsidRDefault="00E74E17" w:rsidP="00D55EFB">
      <w:pPr>
        <w:spacing w:after="24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Alınan malların iadesi, gerçekleşmeyen işlemlere ait toplam matrahlar ve KDV tutarları bu satıra yazılması gerekir.</w:t>
      </w:r>
    </w:p>
    <w:p w:rsidR="00E74E17" w:rsidRPr="00D55EFB" w:rsidRDefault="00E74E17" w:rsidP="00D55EFB">
      <w:pPr>
        <w:pStyle w:val="ListeParagraf"/>
        <w:numPr>
          <w:ilvl w:val="0"/>
          <w:numId w:val="18"/>
        </w:numPr>
        <w:spacing w:after="240" w:line="299" w:lineRule="atLeast"/>
        <w:jc w:val="both"/>
        <w:textAlignment w:val="baseline"/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  <w:t>550 Kodlu Diğerleri Satırına;</w:t>
      </w:r>
    </w:p>
    <w:p w:rsidR="00E74E17" w:rsidRPr="00D55EFB" w:rsidRDefault="00E74E17" w:rsidP="00D55EFB">
      <w:pPr>
        <w:spacing w:after="24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Yukarıdaki kodların dışında kalan, yansıtma faturaları, </w:t>
      </w:r>
      <w:r w:rsidR="00381608"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alınan mallara ilişkin </w:t>
      </w:r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fiyat farkı</w:t>
      </w:r>
      <w:r w:rsidR="00381608"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, kur farkı </w:t>
      </w:r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faturaları gibi faturalara ait toplam matrahlar ve KDV tutarları bu satıra yazılmalıdır.</w:t>
      </w:r>
    </w:p>
    <w:p w:rsidR="00E74E17" w:rsidRPr="00D55EFB" w:rsidRDefault="00E74E17" w:rsidP="00D55EFB">
      <w:pPr>
        <w:pStyle w:val="ListeParagraf"/>
        <w:numPr>
          <w:ilvl w:val="0"/>
          <w:numId w:val="18"/>
        </w:numPr>
        <w:spacing w:after="240" w:line="299" w:lineRule="atLeast"/>
        <w:jc w:val="both"/>
        <w:textAlignment w:val="baseline"/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tr-TR"/>
        </w:rPr>
        <w:t>Daha Önce İndirim Konusu Yapılan KDV’nin İlavesi Satırına;</w:t>
      </w:r>
    </w:p>
    <w:p w:rsidR="00295C04" w:rsidRPr="00D55EFB" w:rsidRDefault="00E74E17" w:rsidP="00D55EFB">
      <w:pPr>
        <w:spacing w:after="24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KDV Kanununa göre indirim konusu yapıldıktan sonra</w:t>
      </w:r>
      <w:r w:rsidR="00381608"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, şirketlerin KDV Kanununda (KDV 16. Ve 17. Maddesi) yer alan kısmi istisna hükümleri kapsamında teslimlere istinaden</w:t>
      </w:r>
      <w:r w:rsidR="00D55EFB"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 </w:t>
      </w:r>
      <w:proofErr w:type="gramStart"/>
      <w:r w:rsidR="00D55EFB"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(</w:t>
      </w:r>
      <w:proofErr w:type="gramEnd"/>
      <w:r w:rsidR="00D55EFB"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Örneğin, KDVK. 17/2-b bendine göre yapılan bağış ve yardımlar</w:t>
      </w:r>
      <w:proofErr w:type="gramStart"/>
      <w:r w:rsidR="00D55EFB"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)</w:t>
      </w:r>
      <w:proofErr w:type="gramEnd"/>
      <w:r w:rsidR="00D55EFB"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 KDV’siz düzenlenen faturalar nedeniyle,</w:t>
      </w:r>
      <w:r w:rsidR="00381608"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 xml:space="preserve"> KDV Kanunun 30/a. maddesinde indirimine izin verilmeyen </w:t>
      </w:r>
      <w:r w:rsidRPr="00D55EFB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KDV tutarları bu satıra yazılmalıdır.</w:t>
      </w:r>
    </w:p>
    <w:p w:rsidR="00230E35" w:rsidRPr="00093428" w:rsidRDefault="00230E35" w:rsidP="00097088">
      <w:pPr>
        <w:pStyle w:val="ListeParagraf"/>
        <w:spacing w:after="120"/>
        <w:ind w:left="0"/>
        <w:contextualSpacing w:val="0"/>
        <w:jc w:val="both"/>
        <w:rPr>
          <w:rFonts w:asciiTheme="majorHAnsi" w:hAnsiTheme="majorHAnsi" w:cs="Tahoma"/>
          <w:b/>
          <w:i/>
          <w:color w:val="1F497D" w:themeColor="text2"/>
          <w:sz w:val="24"/>
          <w:szCs w:val="24"/>
        </w:rPr>
      </w:pPr>
      <w:r w:rsidRPr="00093428">
        <w:rPr>
          <w:rFonts w:asciiTheme="majorHAnsi" w:hAnsiTheme="majorHAnsi" w:cs="Tahoma"/>
          <w:b/>
          <w:i/>
          <w:color w:val="1F497D" w:themeColor="text2"/>
          <w:sz w:val="24"/>
          <w:szCs w:val="24"/>
        </w:rPr>
        <w:t>Saygılarımızla.</w:t>
      </w:r>
    </w:p>
    <w:p w:rsidR="00230E35" w:rsidRPr="00093428" w:rsidRDefault="00230E35" w:rsidP="00097088">
      <w:pPr>
        <w:pStyle w:val="ListeParagraf"/>
        <w:spacing w:after="120"/>
        <w:ind w:left="0"/>
        <w:contextualSpacing w:val="0"/>
        <w:jc w:val="both"/>
        <w:rPr>
          <w:rFonts w:asciiTheme="majorHAnsi" w:hAnsiTheme="majorHAnsi" w:cs="Tahoma"/>
          <w:b/>
          <w:i/>
          <w:color w:val="1F497D" w:themeColor="text2"/>
          <w:sz w:val="24"/>
          <w:szCs w:val="24"/>
        </w:rPr>
      </w:pPr>
      <w:r w:rsidRPr="00093428">
        <w:rPr>
          <w:rFonts w:asciiTheme="majorHAnsi" w:hAnsiTheme="majorHAnsi" w:cs="Tahoma"/>
          <w:b/>
          <w:i/>
          <w:color w:val="1F497D" w:themeColor="text2"/>
          <w:sz w:val="24"/>
          <w:szCs w:val="24"/>
        </w:rPr>
        <w:t>ATABEYDENETİM</w:t>
      </w:r>
    </w:p>
    <w:p w:rsidR="004A4F40" w:rsidRPr="00093428" w:rsidRDefault="004A4F40" w:rsidP="00097088">
      <w:pPr>
        <w:spacing w:after="120"/>
        <w:rPr>
          <w:rFonts w:asciiTheme="majorHAnsi" w:hAnsiTheme="majorHAnsi" w:cs="Tahoma"/>
          <w:sz w:val="24"/>
          <w:szCs w:val="24"/>
        </w:rPr>
      </w:pPr>
    </w:p>
    <w:sectPr w:rsidR="004A4F40" w:rsidRPr="00093428" w:rsidSect="00EB3083">
      <w:headerReference w:type="default" r:id="rId7"/>
      <w:pgSz w:w="11906" w:h="16838"/>
      <w:pgMar w:top="825" w:right="849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D01" w:rsidRDefault="00C01D01" w:rsidP="00E67456">
      <w:pPr>
        <w:spacing w:after="0" w:line="240" w:lineRule="auto"/>
      </w:pPr>
      <w:r>
        <w:separator/>
      </w:r>
    </w:p>
  </w:endnote>
  <w:endnote w:type="continuationSeparator" w:id="0">
    <w:p w:rsidR="00C01D01" w:rsidRDefault="00C01D01" w:rsidP="00E6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D01" w:rsidRDefault="00C01D01" w:rsidP="00E67456">
      <w:pPr>
        <w:spacing w:after="0" w:line="240" w:lineRule="auto"/>
      </w:pPr>
      <w:r>
        <w:separator/>
      </w:r>
    </w:p>
  </w:footnote>
  <w:footnote w:type="continuationSeparator" w:id="0">
    <w:p w:rsidR="00C01D01" w:rsidRDefault="00C01D01" w:rsidP="00E6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56" w:rsidRDefault="00252B62" w:rsidP="0028351B">
    <w:pPr>
      <w:spacing w:after="0" w:line="240" w:lineRule="atLeast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45423" o:spid="_x0000_s2050" type="#_x0000_t75" style="position:absolute;margin-left:0;margin-top:0;width:595.8pt;height:784.45pt;z-index:-251658752;mso-position-horizontal:center;mso-position-horizontal-relative:margin;mso-position-vertical:center;mso-position-vertical-relative:margin" o:allowincell="f">
          <v:imagedata r:id="rId1" o:title="ad antetli kağıt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4E0"/>
    <w:multiLevelType w:val="hybridMultilevel"/>
    <w:tmpl w:val="50321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3468"/>
    <w:multiLevelType w:val="hybridMultilevel"/>
    <w:tmpl w:val="B374137C"/>
    <w:lvl w:ilvl="0" w:tplc="D07A92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32A6"/>
    <w:multiLevelType w:val="hybridMultilevel"/>
    <w:tmpl w:val="B300AA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D0EC6"/>
    <w:multiLevelType w:val="hybridMultilevel"/>
    <w:tmpl w:val="373EC576"/>
    <w:lvl w:ilvl="0" w:tplc="FBF8E61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654B1"/>
    <w:multiLevelType w:val="hybridMultilevel"/>
    <w:tmpl w:val="892CC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C44AA"/>
    <w:multiLevelType w:val="hybridMultilevel"/>
    <w:tmpl w:val="F86835F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325E29"/>
    <w:multiLevelType w:val="hybridMultilevel"/>
    <w:tmpl w:val="0E16C1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B17D8"/>
    <w:multiLevelType w:val="hybridMultilevel"/>
    <w:tmpl w:val="D2FE0308"/>
    <w:lvl w:ilvl="0" w:tplc="45287AAE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547DD"/>
    <w:multiLevelType w:val="hybridMultilevel"/>
    <w:tmpl w:val="5A32B532"/>
    <w:lvl w:ilvl="0" w:tplc="E41CA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7A140E"/>
    <w:multiLevelType w:val="hybridMultilevel"/>
    <w:tmpl w:val="42E0E0D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5F146A"/>
    <w:multiLevelType w:val="hybridMultilevel"/>
    <w:tmpl w:val="ED186F36"/>
    <w:lvl w:ilvl="0" w:tplc="45287AAE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D6D3543"/>
    <w:multiLevelType w:val="hybridMultilevel"/>
    <w:tmpl w:val="0994B2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27F5B"/>
    <w:multiLevelType w:val="hybridMultilevel"/>
    <w:tmpl w:val="F22650A8"/>
    <w:lvl w:ilvl="0" w:tplc="F9D27B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F403B"/>
    <w:multiLevelType w:val="hybridMultilevel"/>
    <w:tmpl w:val="D3BC8278"/>
    <w:lvl w:ilvl="0" w:tplc="E41CA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182766"/>
    <w:multiLevelType w:val="hybridMultilevel"/>
    <w:tmpl w:val="FA8452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07921"/>
    <w:multiLevelType w:val="hybridMultilevel"/>
    <w:tmpl w:val="8AB83C74"/>
    <w:lvl w:ilvl="0" w:tplc="BEAC63F8">
      <w:start w:val="1"/>
      <w:numFmt w:val="lowerLetter"/>
      <w:lvlText w:val="%1)"/>
      <w:lvlJc w:val="left"/>
      <w:pPr>
        <w:ind w:left="110" w:hanging="274"/>
        <w:jc w:val="left"/>
      </w:pPr>
      <w:rPr>
        <w:rFonts w:ascii="DejaVu Serif" w:eastAsia="DejaVu Serif" w:hAnsi="DejaVu Serif" w:cs="DejaVu Serif" w:hint="default"/>
        <w:spacing w:val="0"/>
        <w:w w:val="100"/>
        <w:sz w:val="20"/>
        <w:szCs w:val="20"/>
      </w:rPr>
    </w:lvl>
    <w:lvl w:ilvl="1" w:tplc="892A7C9A">
      <w:numFmt w:val="bullet"/>
      <w:lvlText w:val="•"/>
      <w:lvlJc w:val="left"/>
      <w:pPr>
        <w:ind w:left="1150" w:hanging="274"/>
      </w:pPr>
      <w:rPr>
        <w:rFonts w:hint="default"/>
      </w:rPr>
    </w:lvl>
    <w:lvl w:ilvl="2" w:tplc="B9E4F838">
      <w:numFmt w:val="bullet"/>
      <w:lvlText w:val="•"/>
      <w:lvlJc w:val="left"/>
      <w:pPr>
        <w:ind w:left="2181" w:hanging="274"/>
      </w:pPr>
      <w:rPr>
        <w:rFonts w:hint="default"/>
      </w:rPr>
    </w:lvl>
    <w:lvl w:ilvl="3" w:tplc="16AE895A">
      <w:numFmt w:val="bullet"/>
      <w:lvlText w:val="•"/>
      <w:lvlJc w:val="left"/>
      <w:pPr>
        <w:ind w:left="3211" w:hanging="274"/>
      </w:pPr>
      <w:rPr>
        <w:rFonts w:hint="default"/>
      </w:rPr>
    </w:lvl>
    <w:lvl w:ilvl="4" w:tplc="E982B3A4">
      <w:numFmt w:val="bullet"/>
      <w:lvlText w:val="•"/>
      <w:lvlJc w:val="left"/>
      <w:pPr>
        <w:ind w:left="4242" w:hanging="274"/>
      </w:pPr>
      <w:rPr>
        <w:rFonts w:hint="default"/>
      </w:rPr>
    </w:lvl>
    <w:lvl w:ilvl="5" w:tplc="32A2E9CE">
      <w:numFmt w:val="bullet"/>
      <w:lvlText w:val="•"/>
      <w:lvlJc w:val="left"/>
      <w:pPr>
        <w:ind w:left="5272" w:hanging="274"/>
      </w:pPr>
      <w:rPr>
        <w:rFonts w:hint="default"/>
      </w:rPr>
    </w:lvl>
    <w:lvl w:ilvl="6" w:tplc="464C538A">
      <w:numFmt w:val="bullet"/>
      <w:lvlText w:val="•"/>
      <w:lvlJc w:val="left"/>
      <w:pPr>
        <w:ind w:left="6303" w:hanging="274"/>
      </w:pPr>
      <w:rPr>
        <w:rFonts w:hint="default"/>
      </w:rPr>
    </w:lvl>
    <w:lvl w:ilvl="7" w:tplc="3F0E53AE">
      <w:numFmt w:val="bullet"/>
      <w:lvlText w:val="•"/>
      <w:lvlJc w:val="left"/>
      <w:pPr>
        <w:ind w:left="7333" w:hanging="274"/>
      </w:pPr>
      <w:rPr>
        <w:rFonts w:hint="default"/>
      </w:rPr>
    </w:lvl>
    <w:lvl w:ilvl="8" w:tplc="93686AFE">
      <w:numFmt w:val="bullet"/>
      <w:lvlText w:val="•"/>
      <w:lvlJc w:val="left"/>
      <w:pPr>
        <w:ind w:left="8364" w:hanging="274"/>
      </w:pPr>
      <w:rPr>
        <w:rFonts w:hint="default"/>
      </w:rPr>
    </w:lvl>
  </w:abstractNum>
  <w:abstractNum w:abstractNumId="16">
    <w:nsid w:val="75BC7D02"/>
    <w:multiLevelType w:val="hybridMultilevel"/>
    <w:tmpl w:val="394C78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849CC"/>
    <w:multiLevelType w:val="hybridMultilevel"/>
    <w:tmpl w:val="F48099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8B1"/>
    <w:rsid w:val="00023C54"/>
    <w:rsid w:val="00025146"/>
    <w:rsid w:val="0002712A"/>
    <w:rsid w:val="0003730C"/>
    <w:rsid w:val="000438C3"/>
    <w:rsid w:val="000702B4"/>
    <w:rsid w:val="00082A3B"/>
    <w:rsid w:val="00093428"/>
    <w:rsid w:val="00097088"/>
    <w:rsid w:val="000C18A4"/>
    <w:rsid w:val="000E4B5A"/>
    <w:rsid w:val="000E66C3"/>
    <w:rsid w:val="000F43CE"/>
    <w:rsid w:val="000F55EE"/>
    <w:rsid w:val="00123DC3"/>
    <w:rsid w:val="00147CE1"/>
    <w:rsid w:val="00196649"/>
    <w:rsid w:val="001A38B1"/>
    <w:rsid w:val="001C1E63"/>
    <w:rsid w:val="001E4289"/>
    <w:rsid w:val="00201086"/>
    <w:rsid w:val="00230E35"/>
    <w:rsid w:val="00240D27"/>
    <w:rsid w:val="00252B62"/>
    <w:rsid w:val="0028351B"/>
    <w:rsid w:val="00287151"/>
    <w:rsid w:val="00295C04"/>
    <w:rsid w:val="002A5133"/>
    <w:rsid w:val="002A6A81"/>
    <w:rsid w:val="002F6E18"/>
    <w:rsid w:val="003019A4"/>
    <w:rsid w:val="00343B0E"/>
    <w:rsid w:val="0034694C"/>
    <w:rsid w:val="00376CCC"/>
    <w:rsid w:val="00381608"/>
    <w:rsid w:val="003B2332"/>
    <w:rsid w:val="003C5E24"/>
    <w:rsid w:val="003D2D3C"/>
    <w:rsid w:val="003D39C0"/>
    <w:rsid w:val="003E3660"/>
    <w:rsid w:val="003F5189"/>
    <w:rsid w:val="00404E57"/>
    <w:rsid w:val="004228BE"/>
    <w:rsid w:val="00433DC9"/>
    <w:rsid w:val="00434D1F"/>
    <w:rsid w:val="004A4F40"/>
    <w:rsid w:val="004D49E4"/>
    <w:rsid w:val="004E1E66"/>
    <w:rsid w:val="004E73A2"/>
    <w:rsid w:val="00537577"/>
    <w:rsid w:val="00546825"/>
    <w:rsid w:val="00550D09"/>
    <w:rsid w:val="00576307"/>
    <w:rsid w:val="005B2733"/>
    <w:rsid w:val="005B7DE5"/>
    <w:rsid w:val="005C5E48"/>
    <w:rsid w:val="005F030B"/>
    <w:rsid w:val="005F7866"/>
    <w:rsid w:val="006061D5"/>
    <w:rsid w:val="00625569"/>
    <w:rsid w:val="00635B43"/>
    <w:rsid w:val="006560E0"/>
    <w:rsid w:val="00670F1D"/>
    <w:rsid w:val="00671E0F"/>
    <w:rsid w:val="0068592C"/>
    <w:rsid w:val="0069226B"/>
    <w:rsid w:val="006B00A7"/>
    <w:rsid w:val="00707D57"/>
    <w:rsid w:val="00721561"/>
    <w:rsid w:val="00736AFE"/>
    <w:rsid w:val="00736F3C"/>
    <w:rsid w:val="007664C2"/>
    <w:rsid w:val="00772677"/>
    <w:rsid w:val="007E0174"/>
    <w:rsid w:val="007F0DD4"/>
    <w:rsid w:val="008146EB"/>
    <w:rsid w:val="00821819"/>
    <w:rsid w:val="008372A7"/>
    <w:rsid w:val="00865670"/>
    <w:rsid w:val="00872AE7"/>
    <w:rsid w:val="00876504"/>
    <w:rsid w:val="00892A11"/>
    <w:rsid w:val="00895AB6"/>
    <w:rsid w:val="008B1A3D"/>
    <w:rsid w:val="008E3C6F"/>
    <w:rsid w:val="008F3727"/>
    <w:rsid w:val="009271DD"/>
    <w:rsid w:val="00934FC1"/>
    <w:rsid w:val="00950A69"/>
    <w:rsid w:val="009777B5"/>
    <w:rsid w:val="009930A2"/>
    <w:rsid w:val="009A1609"/>
    <w:rsid w:val="009A18D2"/>
    <w:rsid w:val="009D564E"/>
    <w:rsid w:val="009F73AA"/>
    <w:rsid w:val="00A01761"/>
    <w:rsid w:val="00A01803"/>
    <w:rsid w:val="00A32A8F"/>
    <w:rsid w:val="00A36CAB"/>
    <w:rsid w:val="00A65FA6"/>
    <w:rsid w:val="00A7745F"/>
    <w:rsid w:val="00A842F8"/>
    <w:rsid w:val="00A84832"/>
    <w:rsid w:val="00AB74BC"/>
    <w:rsid w:val="00AC23D5"/>
    <w:rsid w:val="00AD0292"/>
    <w:rsid w:val="00AD082C"/>
    <w:rsid w:val="00AF4CDF"/>
    <w:rsid w:val="00B12524"/>
    <w:rsid w:val="00B139CC"/>
    <w:rsid w:val="00B71675"/>
    <w:rsid w:val="00B7232F"/>
    <w:rsid w:val="00BA6DB1"/>
    <w:rsid w:val="00BB0DB7"/>
    <w:rsid w:val="00BE4D3D"/>
    <w:rsid w:val="00BF11C7"/>
    <w:rsid w:val="00BF4F9E"/>
    <w:rsid w:val="00C01D01"/>
    <w:rsid w:val="00C26447"/>
    <w:rsid w:val="00C65D54"/>
    <w:rsid w:val="00C7646D"/>
    <w:rsid w:val="00C93520"/>
    <w:rsid w:val="00C955D8"/>
    <w:rsid w:val="00CA298B"/>
    <w:rsid w:val="00CB19C1"/>
    <w:rsid w:val="00CB40FD"/>
    <w:rsid w:val="00CE2F6D"/>
    <w:rsid w:val="00CF5510"/>
    <w:rsid w:val="00D14328"/>
    <w:rsid w:val="00D37F86"/>
    <w:rsid w:val="00D55EFB"/>
    <w:rsid w:val="00D9354F"/>
    <w:rsid w:val="00DB4717"/>
    <w:rsid w:val="00DD608B"/>
    <w:rsid w:val="00DE3C8F"/>
    <w:rsid w:val="00DF31D2"/>
    <w:rsid w:val="00E045A9"/>
    <w:rsid w:val="00E156AD"/>
    <w:rsid w:val="00E17C01"/>
    <w:rsid w:val="00E37E7D"/>
    <w:rsid w:val="00E6577E"/>
    <w:rsid w:val="00E67456"/>
    <w:rsid w:val="00E74E17"/>
    <w:rsid w:val="00E92F65"/>
    <w:rsid w:val="00EB3083"/>
    <w:rsid w:val="00EC10F2"/>
    <w:rsid w:val="00EC3B27"/>
    <w:rsid w:val="00EC47B0"/>
    <w:rsid w:val="00ED5FF3"/>
    <w:rsid w:val="00EE2843"/>
    <w:rsid w:val="00EE6BE3"/>
    <w:rsid w:val="00EF5F31"/>
    <w:rsid w:val="00F34887"/>
    <w:rsid w:val="00F82821"/>
    <w:rsid w:val="00FA0607"/>
    <w:rsid w:val="00FA680E"/>
    <w:rsid w:val="00FB4B15"/>
    <w:rsid w:val="00FC1ED8"/>
    <w:rsid w:val="00FD1708"/>
    <w:rsid w:val="00FD1F10"/>
    <w:rsid w:val="00FD32D4"/>
    <w:rsid w:val="00FD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6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7456"/>
  </w:style>
  <w:style w:type="paragraph" w:styleId="Altbilgi">
    <w:name w:val="footer"/>
    <w:basedOn w:val="Normal"/>
    <w:link w:val="AltbilgiChar"/>
    <w:uiPriority w:val="99"/>
    <w:semiHidden/>
    <w:unhideWhenUsed/>
    <w:rsid w:val="00E6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7456"/>
  </w:style>
  <w:style w:type="paragraph" w:styleId="ListeParagraf">
    <w:name w:val="List Paragraph"/>
    <w:basedOn w:val="Normal"/>
    <w:uiPriority w:val="34"/>
    <w:qFormat/>
    <w:rsid w:val="00434D1F"/>
    <w:pPr>
      <w:ind w:left="720"/>
      <w:contextualSpacing/>
    </w:pPr>
  </w:style>
  <w:style w:type="paragraph" w:customStyle="1" w:styleId="default">
    <w:name w:val="default"/>
    <w:basedOn w:val="Normal"/>
    <w:rsid w:val="0023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odytext">
    <w:name w:val="bodytext"/>
    <w:basedOn w:val="Normal"/>
    <w:rsid w:val="0009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76504"/>
    <w:rPr>
      <w:color w:val="0000FF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B40FD"/>
  </w:style>
  <w:style w:type="paragraph" w:styleId="GvdeMetni">
    <w:name w:val="Body Text"/>
    <w:basedOn w:val="Normal"/>
    <w:link w:val="GvdeMetniChar"/>
    <w:uiPriority w:val="1"/>
    <w:qFormat/>
    <w:rsid w:val="00950A69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50A69"/>
    <w:rPr>
      <w:rFonts w:ascii="DejaVu Serif" w:eastAsia="DejaVu Serif" w:hAnsi="DejaVu Serif" w:cs="DejaVu Serif"/>
      <w:sz w:val="20"/>
      <w:szCs w:val="20"/>
      <w:lang w:val="en-US"/>
    </w:rPr>
  </w:style>
  <w:style w:type="paragraph" w:customStyle="1" w:styleId="Heading1">
    <w:name w:val="Heading 1"/>
    <w:basedOn w:val="Normal"/>
    <w:uiPriority w:val="1"/>
    <w:qFormat/>
    <w:rsid w:val="00950A69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DejaVu Serif" w:eastAsia="DejaVu Serif" w:hAnsi="DejaVu Serif" w:cs="DejaVu Serif"/>
      <w:b/>
      <w:bCs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1C1E63"/>
    <w:rPr>
      <w:b/>
      <w:bCs/>
    </w:rPr>
  </w:style>
  <w:style w:type="paragraph" w:styleId="AralkYok">
    <w:name w:val="No Spacing"/>
    <w:uiPriority w:val="1"/>
    <w:qFormat/>
    <w:rsid w:val="00E74E1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E74E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Hewlett-Packard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mesutatabey@hotmail.com</dc:creator>
  <cp:lastModifiedBy>Atabey</cp:lastModifiedBy>
  <cp:revision>4</cp:revision>
  <cp:lastPrinted>2017-04-17T06:09:00Z</cp:lastPrinted>
  <dcterms:created xsi:type="dcterms:W3CDTF">2019-01-30T15:09:00Z</dcterms:created>
  <dcterms:modified xsi:type="dcterms:W3CDTF">2019-01-30T16:27:00Z</dcterms:modified>
</cp:coreProperties>
</file>