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shd w:val="clear" w:color="auto" w:fill="FFFFFF"/>
        <w:tblCellMar>
          <w:left w:w="0" w:type="dxa"/>
          <w:right w:w="0" w:type="dxa"/>
        </w:tblCellMar>
        <w:tblLook w:val="04A0"/>
      </w:tblPr>
      <w:tblGrid>
        <w:gridCol w:w="654"/>
        <w:gridCol w:w="332"/>
        <w:gridCol w:w="3759"/>
        <w:gridCol w:w="2067"/>
        <w:gridCol w:w="2315"/>
      </w:tblGrid>
      <w:tr w:rsidR="00713CB5" w:rsidRPr="00713CB5" w:rsidTr="00713CB5">
        <w:trPr>
          <w:trHeight w:val="405"/>
        </w:trPr>
        <w:tc>
          <w:tcPr>
            <w:tcW w:w="9191" w:type="dxa"/>
            <w:gridSpan w:val="5"/>
            <w:tcBorders>
              <w:top w:val="nil"/>
              <w:left w:val="nil"/>
              <w:bottom w:val="nil"/>
              <w:right w:val="nil"/>
            </w:tcBorders>
            <w:shd w:val="clear" w:color="auto" w:fill="FFFFFF"/>
            <w:tcMar>
              <w:top w:w="55" w:type="dxa"/>
              <w:left w:w="55" w:type="dxa"/>
              <w:bottom w:w="55" w:type="dxa"/>
              <w:right w:w="55" w:type="dxa"/>
            </w:tcMar>
            <w:hideMark/>
          </w:tcPr>
          <w:p w:rsidR="00713CB5" w:rsidRPr="00713CB5" w:rsidRDefault="00713CB5" w:rsidP="00713CB5">
            <w:pPr>
              <w:spacing w:after="272" w:line="240" w:lineRule="auto"/>
              <w:jc w:val="center"/>
              <w:rPr>
                <w:rFonts w:ascii="Times New Roman" w:eastAsia="Times New Roman" w:hAnsi="Times New Roman" w:cs="Times New Roman"/>
                <w:color w:val="777777"/>
                <w:sz w:val="24"/>
                <w:szCs w:val="24"/>
                <w:lang w:eastAsia="tr-TR"/>
              </w:rPr>
            </w:pPr>
            <w:r w:rsidRPr="00713CB5">
              <w:rPr>
                <w:rFonts w:ascii="Times New Roman" w:eastAsia="Times New Roman" w:hAnsi="Times New Roman" w:cs="Times New Roman"/>
                <w:b/>
                <w:bCs/>
                <w:color w:val="777777"/>
                <w:sz w:val="24"/>
                <w:szCs w:val="24"/>
                <w:lang w:eastAsia="tr-TR"/>
              </w:rPr>
              <w:t>T.C.</w:t>
            </w:r>
          </w:p>
          <w:p w:rsidR="00713CB5" w:rsidRPr="00713CB5" w:rsidRDefault="00713CB5" w:rsidP="00713CB5">
            <w:pPr>
              <w:spacing w:after="272" w:line="240" w:lineRule="auto"/>
              <w:jc w:val="center"/>
              <w:rPr>
                <w:rFonts w:ascii="Arial" w:eastAsia="Times New Roman" w:hAnsi="Arial" w:cs="Arial"/>
                <w:color w:val="777777"/>
                <w:sz w:val="18"/>
                <w:szCs w:val="18"/>
                <w:lang w:eastAsia="tr-TR"/>
              </w:rPr>
            </w:pPr>
            <w:r w:rsidRPr="00713CB5">
              <w:rPr>
                <w:rFonts w:ascii="Arial" w:eastAsia="Times New Roman" w:hAnsi="Arial" w:cs="Arial"/>
                <w:b/>
                <w:bCs/>
                <w:color w:val="777777"/>
                <w:sz w:val="18"/>
                <w:szCs w:val="18"/>
                <w:lang w:eastAsia="tr-TR"/>
              </w:rPr>
              <w:t>GELİR İDARESİ BAŞKANLIĞI</w:t>
            </w:r>
          </w:p>
          <w:p w:rsidR="00713CB5" w:rsidRPr="00713CB5" w:rsidRDefault="00713CB5" w:rsidP="00713CB5">
            <w:pPr>
              <w:spacing w:after="272" w:line="240" w:lineRule="auto"/>
              <w:jc w:val="center"/>
              <w:rPr>
                <w:rFonts w:ascii="Arial" w:eastAsia="Times New Roman" w:hAnsi="Arial" w:cs="Arial"/>
                <w:color w:val="777777"/>
                <w:sz w:val="18"/>
                <w:szCs w:val="18"/>
                <w:lang w:eastAsia="tr-TR"/>
              </w:rPr>
            </w:pPr>
            <w:r w:rsidRPr="00713CB5">
              <w:rPr>
                <w:rFonts w:ascii="Arial" w:eastAsia="Times New Roman" w:hAnsi="Arial" w:cs="Arial"/>
                <w:b/>
                <w:bCs/>
                <w:color w:val="777777"/>
                <w:sz w:val="18"/>
                <w:szCs w:val="18"/>
                <w:lang w:eastAsia="tr-TR"/>
              </w:rPr>
              <w:t>BURSA VERGİ DAİRESİ BAŞKANLIĞI</w:t>
            </w:r>
          </w:p>
          <w:p w:rsidR="00713CB5" w:rsidRPr="00713CB5" w:rsidRDefault="00713CB5" w:rsidP="00713CB5">
            <w:pPr>
              <w:spacing w:after="272" w:line="240" w:lineRule="auto"/>
              <w:jc w:val="center"/>
              <w:rPr>
                <w:rFonts w:ascii="Arial" w:eastAsia="Times New Roman" w:hAnsi="Arial" w:cs="Arial"/>
                <w:color w:val="777777"/>
                <w:sz w:val="18"/>
                <w:szCs w:val="18"/>
                <w:lang w:eastAsia="tr-TR"/>
              </w:rPr>
            </w:pPr>
            <w:r w:rsidRPr="00713CB5">
              <w:rPr>
                <w:rFonts w:ascii="Arial" w:eastAsia="Times New Roman" w:hAnsi="Arial" w:cs="Arial"/>
                <w:b/>
                <w:bCs/>
                <w:color w:val="777777"/>
                <w:sz w:val="18"/>
                <w:szCs w:val="18"/>
                <w:lang w:eastAsia="tr-TR"/>
              </w:rPr>
              <w:t>(Mükellef Hizmetleri Gelir Grup Müdürlüğü</w:t>
            </w:r>
          </w:p>
          <w:p w:rsidR="00713CB5" w:rsidRPr="00713CB5" w:rsidRDefault="00713CB5" w:rsidP="00713CB5">
            <w:pPr>
              <w:spacing w:after="272" w:line="240" w:lineRule="auto"/>
              <w:jc w:val="center"/>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w:t>
            </w:r>
          </w:p>
        </w:tc>
      </w:tr>
      <w:tr w:rsidR="00713CB5" w:rsidRPr="00713CB5" w:rsidTr="00713CB5">
        <w:trPr>
          <w:trHeight w:val="405"/>
        </w:trPr>
        <w:tc>
          <w:tcPr>
            <w:tcW w:w="4647" w:type="dxa"/>
            <w:gridSpan w:val="3"/>
            <w:tcBorders>
              <w:top w:val="nil"/>
              <w:left w:val="nil"/>
              <w:bottom w:val="nil"/>
              <w:right w:val="nil"/>
            </w:tcBorders>
            <w:shd w:val="clear" w:color="auto" w:fill="FFFFFF"/>
            <w:tcMar>
              <w:top w:w="55" w:type="dxa"/>
              <w:left w:w="55" w:type="dxa"/>
              <w:bottom w:w="55" w:type="dxa"/>
              <w:right w:w="55" w:type="dxa"/>
            </w:tcMar>
            <w:hideMark/>
          </w:tcPr>
          <w:p w:rsidR="00713CB5" w:rsidRPr="00713CB5" w:rsidRDefault="00713CB5" w:rsidP="00713CB5">
            <w:pPr>
              <w:spacing w:after="272" w:line="240" w:lineRule="auto"/>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w:t>
            </w:r>
          </w:p>
        </w:tc>
        <w:tc>
          <w:tcPr>
            <w:tcW w:w="4544" w:type="dxa"/>
            <w:gridSpan w:val="2"/>
            <w:tcBorders>
              <w:top w:val="nil"/>
              <w:left w:val="nil"/>
              <w:bottom w:val="nil"/>
              <w:right w:val="nil"/>
            </w:tcBorders>
            <w:shd w:val="clear" w:color="auto" w:fill="FFFFFF"/>
            <w:tcMar>
              <w:top w:w="55" w:type="dxa"/>
              <w:left w:w="55" w:type="dxa"/>
              <w:bottom w:w="55" w:type="dxa"/>
              <w:right w:w="55" w:type="dxa"/>
            </w:tcMar>
            <w:hideMark/>
          </w:tcPr>
          <w:p w:rsidR="00713CB5" w:rsidRPr="00713CB5" w:rsidRDefault="00713CB5" w:rsidP="00713CB5">
            <w:pPr>
              <w:spacing w:after="272" w:line="240" w:lineRule="auto"/>
              <w:jc w:val="right"/>
              <w:rPr>
                <w:rFonts w:ascii="Arial" w:eastAsia="Times New Roman" w:hAnsi="Arial" w:cs="Arial"/>
                <w:color w:val="777777"/>
                <w:sz w:val="18"/>
                <w:szCs w:val="18"/>
                <w:lang w:eastAsia="tr-TR"/>
              </w:rPr>
            </w:pPr>
            <w:r w:rsidRPr="00713CB5">
              <w:rPr>
                <w:rFonts w:ascii="Arial" w:eastAsia="Times New Roman" w:hAnsi="Arial" w:cs="Arial"/>
                <w:color w:val="FF3366"/>
                <w:sz w:val="18"/>
                <w:szCs w:val="18"/>
                <w:lang w:eastAsia="tr-TR"/>
              </w:rPr>
              <w:t> </w:t>
            </w:r>
          </w:p>
        </w:tc>
      </w:tr>
      <w:tr w:rsidR="00713CB5" w:rsidRPr="00713CB5" w:rsidTr="00713CB5">
        <w:tc>
          <w:tcPr>
            <w:tcW w:w="660" w:type="dxa"/>
            <w:tcBorders>
              <w:top w:val="nil"/>
              <w:left w:val="nil"/>
              <w:bottom w:val="nil"/>
              <w:right w:val="nil"/>
            </w:tcBorders>
            <w:shd w:val="clear" w:color="auto" w:fill="FFFFFF"/>
            <w:tcMar>
              <w:top w:w="55" w:type="dxa"/>
              <w:left w:w="55" w:type="dxa"/>
              <w:bottom w:w="55" w:type="dxa"/>
              <w:right w:w="55" w:type="dxa"/>
            </w:tcMar>
            <w:hideMark/>
          </w:tcPr>
          <w:p w:rsidR="00713CB5" w:rsidRPr="00713CB5" w:rsidRDefault="00713CB5" w:rsidP="00713CB5">
            <w:pPr>
              <w:spacing w:after="272" w:line="240" w:lineRule="auto"/>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Sayı</w:t>
            </w:r>
          </w:p>
        </w:tc>
        <w:tc>
          <w:tcPr>
            <w:tcW w:w="120" w:type="dxa"/>
            <w:tcBorders>
              <w:top w:val="nil"/>
              <w:left w:val="nil"/>
              <w:bottom w:val="nil"/>
              <w:right w:val="nil"/>
            </w:tcBorders>
            <w:shd w:val="clear" w:color="auto" w:fill="FFFFFF"/>
            <w:tcMar>
              <w:top w:w="55" w:type="dxa"/>
              <w:left w:w="55" w:type="dxa"/>
              <w:bottom w:w="55" w:type="dxa"/>
              <w:right w:w="55" w:type="dxa"/>
            </w:tcMar>
            <w:hideMark/>
          </w:tcPr>
          <w:p w:rsidR="00713CB5" w:rsidRPr="00713CB5" w:rsidRDefault="00713CB5" w:rsidP="00713CB5">
            <w:pPr>
              <w:spacing w:after="272" w:line="240" w:lineRule="auto"/>
              <w:jc w:val="center"/>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w:t>
            </w:r>
          </w:p>
        </w:tc>
        <w:tc>
          <w:tcPr>
            <w:tcW w:w="6027" w:type="dxa"/>
            <w:gridSpan w:val="2"/>
            <w:tcBorders>
              <w:top w:val="nil"/>
              <w:left w:val="nil"/>
              <w:bottom w:val="nil"/>
              <w:right w:val="nil"/>
            </w:tcBorders>
            <w:shd w:val="clear" w:color="auto" w:fill="FFFFFF"/>
            <w:tcMar>
              <w:top w:w="55" w:type="dxa"/>
              <w:left w:w="55" w:type="dxa"/>
              <w:bottom w:w="55" w:type="dxa"/>
              <w:right w:w="55" w:type="dxa"/>
            </w:tcMar>
            <w:hideMark/>
          </w:tcPr>
          <w:p w:rsidR="00713CB5" w:rsidRPr="00713CB5" w:rsidRDefault="00713CB5" w:rsidP="00713CB5">
            <w:pPr>
              <w:spacing w:after="272" w:line="240" w:lineRule="auto"/>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45404237-300-10-56-144</w:t>
            </w:r>
          </w:p>
        </w:tc>
        <w:tc>
          <w:tcPr>
            <w:tcW w:w="2384" w:type="dxa"/>
            <w:tcBorders>
              <w:top w:val="nil"/>
              <w:left w:val="nil"/>
              <w:bottom w:val="nil"/>
              <w:right w:val="nil"/>
            </w:tcBorders>
            <w:shd w:val="clear" w:color="auto" w:fill="FFFFFF"/>
            <w:tcMar>
              <w:top w:w="55" w:type="dxa"/>
              <w:left w:w="55" w:type="dxa"/>
              <w:bottom w:w="55" w:type="dxa"/>
              <w:right w:w="55" w:type="dxa"/>
            </w:tcMar>
            <w:hideMark/>
          </w:tcPr>
          <w:p w:rsidR="00713CB5" w:rsidRPr="00713CB5" w:rsidRDefault="00713CB5" w:rsidP="00713CB5">
            <w:pPr>
              <w:spacing w:after="272" w:line="240" w:lineRule="auto"/>
              <w:jc w:val="right"/>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20.07.2011</w:t>
            </w:r>
          </w:p>
        </w:tc>
      </w:tr>
      <w:tr w:rsidR="00713CB5" w:rsidRPr="00713CB5" w:rsidTr="00713CB5">
        <w:tc>
          <w:tcPr>
            <w:tcW w:w="660" w:type="dxa"/>
            <w:tcBorders>
              <w:top w:val="nil"/>
              <w:left w:val="nil"/>
              <w:bottom w:val="nil"/>
              <w:right w:val="nil"/>
            </w:tcBorders>
            <w:shd w:val="clear" w:color="auto" w:fill="FFFFFF"/>
            <w:tcMar>
              <w:top w:w="55" w:type="dxa"/>
              <w:left w:w="55" w:type="dxa"/>
              <w:bottom w:w="55" w:type="dxa"/>
              <w:right w:w="55" w:type="dxa"/>
            </w:tcMar>
            <w:hideMark/>
          </w:tcPr>
          <w:p w:rsidR="00713CB5" w:rsidRPr="00713CB5" w:rsidRDefault="00713CB5" w:rsidP="00713CB5">
            <w:pPr>
              <w:spacing w:after="272" w:line="240" w:lineRule="auto"/>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Konu</w:t>
            </w:r>
          </w:p>
        </w:tc>
        <w:tc>
          <w:tcPr>
            <w:tcW w:w="120" w:type="dxa"/>
            <w:tcBorders>
              <w:top w:val="nil"/>
              <w:left w:val="nil"/>
              <w:bottom w:val="nil"/>
              <w:right w:val="nil"/>
            </w:tcBorders>
            <w:shd w:val="clear" w:color="auto" w:fill="FFFFFF"/>
            <w:tcMar>
              <w:top w:w="55" w:type="dxa"/>
              <w:left w:w="55" w:type="dxa"/>
              <w:bottom w:w="55" w:type="dxa"/>
              <w:right w:w="55" w:type="dxa"/>
            </w:tcMar>
            <w:hideMark/>
          </w:tcPr>
          <w:p w:rsidR="00713CB5" w:rsidRPr="00713CB5" w:rsidRDefault="00713CB5" w:rsidP="00713CB5">
            <w:pPr>
              <w:spacing w:after="272" w:line="240" w:lineRule="auto"/>
              <w:jc w:val="center"/>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w:t>
            </w:r>
          </w:p>
        </w:tc>
        <w:tc>
          <w:tcPr>
            <w:tcW w:w="3867" w:type="dxa"/>
            <w:tcBorders>
              <w:top w:val="nil"/>
              <w:left w:val="nil"/>
              <w:bottom w:val="nil"/>
              <w:right w:val="nil"/>
            </w:tcBorders>
            <w:shd w:val="clear" w:color="auto" w:fill="FFFFFF"/>
            <w:tcMar>
              <w:top w:w="55" w:type="dxa"/>
              <w:left w:w="55" w:type="dxa"/>
              <w:bottom w:w="55" w:type="dxa"/>
              <w:right w:w="55" w:type="dxa"/>
            </w:tcMar>
            <w:hideMark/>
          </w:tcPr>
          <w:p w:rsidR="00713CB5" w:rsidRPr="00713CB5" w:rsidRDefault="00713CB5" w:rsidP="00713CB5">
            <w:pPr>
              <w:spacing w:after="272" w:line="240" w:lineRule="auto"/>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Yapı denetim hizmeti bedeline ait faturanın arsa sahibi adına düzenlenmesi durumunda gider kaydedilip kaydedilemeyeceği.</w:t>
            </w:r>
          </w:p>
        </w:tc>
        <w:tc>
          <w:tcPr>
            <w:tcW w:w="4544" w:type="dxa"/>
            <w:gridSpan w:val="2"/>
            <w:tcBorders>
              <w:top w:val="nil"/>
              <w:left w:val="nil"/>
              <w:bottom w:val="nil"/>
              <w:right w:val="nil"/>
            </w:tcBorders>
            <w:shd w:val="clear" w:color="auto" w:fill="FFFFFF"/>
            <w:tcMar>
              <w:top w:w="55" w:type="dxa"/>
              <w:left w:w="55" w:type="dxa"/>
              <w:bottom w:w="55" w:type="dxa"/>
              <w:right w:w="55" w:type="dxa"/>
            </w:tcMar>
            <w:hideMark/>
          </w:tcPr>
          <w:p w:rsidR="00713CB5" w:rsidRPr="00713CB5" w:rsidRDefault="00713CB5" w:rsidP="00713CB5">
            <w:pPr>
              <w:spacing w:after="272" w:line="240" w:lineRule="auto"/>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w:t>
            </w:r>
          </w:p>
        </w:tc>
      </w:tr>
      <w:tr w:rsidR="00713CB5" w:rsidRPr="00713CB5" w:rsidTr="00713CB5">
        <w:tc>
          <w:tcPr>
            <w:tcW w:w="660" w:type="dxa"/>
            <w:tcBorders>
              <w:top w:val="nil"/>
              <w:left w:val="nil"/>
              <w:bottom w:val="nil"/>
              <w:right w:val="nil"/>
            </w:tcBorders>
            <w:shd w:val="clear" w:color="auto" w:fill="FFFFFF"/>
            <w:tcMar>
              <w:top w:w="54" w:type="dxa"/>
              <w:left w:w="163" w:type="dxa"/>
              <w:bottom w:w="68" w:type="dxa"/>
              <w:right w:w="163" w:type="dxa"/>
            </w:tcMar>
            <w:vAlign w:val="center"/>
            <w:hideMark/>
          </w:tcPr>
          <w:p w:rsidR="00713CB5" w:rsidRPr="00713CB5" w:rsidRDefault="00713CB5" w:rsidP="00713CB5">
            <w:pPr>
              <w:spacing w:after="0" w:line="240" w:lineRule="auto"/>
              <w:rPr>
                <w:rFonts w:ascii="Arial" w:eastAsia="Times New Roman" w:hAnsi="Arial" w:cs="Arial"/>
                <w:color w:val="777777"/>
                <w:sz w:val="1"/>
                <w:szCs w:val="18"/>
                <w:lang w:eastAsia="tr-TR"/>
              </w:rPr>
            </w:pPr>
          </w:p>
        </w:tc>
        <w:tc>
          <w:tcPr>
            <w:tcW w:w="165" w:type="dxa"/>
            <w:tcBorders>
              <w:top w:val="nil"/>
              <w:left w:val="nil"/>
              <w:bottom w:val="nil"/>
              <w:right w:val="nil"/>
            </w:tcBorders>
            <w:shd w:val="clear" w:color="auto" w:fill="FFFFFF"/>
            <w:tcMar>
              <w:top w:w="54" w:type="dxa"/>
              <w:left w:w="163" w:type="dxa"/>
              <w:bottom w:w="68" w:type="dxa"/>
              <w:right w:w="163" w:type="dxa"/>
            </w:tcMar>
            <w:vAlign w:val="center"/>
            <w:hideMark/>
          </w:tcPr>
          <w:p w:rsidR="00713CB5" w:rsidRPr="00713CB5" w:rsidRDefault="00713CB5" w:rsidP="00713CB5">
            <w:pPr>
              <w:spacing w:after="0" w:line="240" w:lineRule="auto"/>
              <w:rPr>
                <w:rFonts w:ascii="Arial" w:eastAsia="Times New Roman" w:hAnsi="Arial" w:cs="Arial"/>
                <w:color w:val="777777"/>
                <w:sz w:val="1"/>
                <w:szCs w:val="18"/>
                <w:lang w:eastAsia="tr-TR"/>
              </w:rPr>
            </w:pPr>
          </w:p>
        </w:tc>
        <w:tc>
          <w:tcPr>
            <w:tcW w:w="3870" w:type="dxa"/>
            <w:tcBorders>
              <w:top w:val="nil"/>
              <w:left w:val="nil"/>
              <w:bottom w:val="nil"/>
              <w:right w:val="nil"/>
            </w:tcBorders>
            <w:shd w:val="clear" w:color="auto" w:fill="FFFFFF"/>
            <w:tcMar>
              <w:top w:w="54" w:type="dxa"/>
              <w:left w:w="163" w:type="dxa"/>
              <w:bottom w:w="68" w:type="dxa"/>
              <w:right w:w="163" w:type="dxa"/>
            </w:tcMar>
            <w:vAlign w:val="center"/>
            <w:hideMark/>
          </w:tcPr>
          <w:p w:rsidR="00713CB5" w:rsidRPr="00713CB5" w:rsidRDefault="00713CB5" w:rsidP="00713CB5">
            <w:pPr>
              <w:spacing w:after="0" w:line="240" w:lineRule="auto"/>
              <w:rPr>
                <w:rFonts w:ascii="Arial" w:eastAsia="Times New Roman" w:hAnsi="Arial" w:cs="Arial"/>
                <w:color w:val="777777"/>
                <w:sz w:val="1"/>
                <w:szCs w:val="18"/>
                <w:lang w:eastAsia="tr-TR"/>
              </w:rPr>
            </w:pPr>
          </w:p>
        </w:tc>
        <w:tc>
          <w:tcPr>
            <w:tcW w:w="2160" w:type="dxa"/>
            <w:tcBorders>
              <w:top w:val="nil"/>
              <w:left w:val="nil"/>
              <w:bottom w:val="nil"/>
              <w:right w:val="nil"/>
            </w:tcBorders>
            <w:shd w:val="clear" w:color="auto" w:fill="FFFFFF"/>
            <w:tcMar>
              <w:top w:w="54" w:type="dxa"/>
              <w:left w:w="163" w:type="dxa"/>
              <w:bottom w:w="68" w:type="dxa"/>
              <w:right w:w="163" w:type="dxa"/>
            </w:tcMar>
            <w:vAlign w:val="center"/>
            <w:hideMark/>
          </w:tcPr>
          <w:p w:rsidR="00713CB5" w:rsidRPr="00713CB5" w:rsidRDefault="00713CB5" w:rsidP="00713CB5">
            <w:pPr>
              <w:spacing w:after="0" w:line="240" w:lineRule="auto"/>
              <w:rPr>
                <w:rFonts w:ascii="Arial" w:eastAsia="Times New Roman" w:hAnsi="Arial" w:cs="Arial"/>
                <w:color w:val="777777"/>
                <w:sz w:val="1"/>
                <w:szCs w:val="18"/>
                <w:lang w:eastAsia="tr-TR"/>
              </w:rPr>
            </w:pPr>
          </w:p>
        </w:tc>
        <w:tc>
          <w:tcPr>
            <w:tcW w:w="2385" w:type="dxa"/>
            <w:tcBorders>
              <w:top w:val="nil"/>
              <w:left w:val="nil"/>
              <w:bottom w:val="nil"/>
              <w:right w:val="nil"/>
            </w:tcBorders>
            <w:shd w:val="clear" w:color="auto" w:fill="FFFFFF"/>
            <w:tcMar>
              <w:top w:w="54" w:type="dxa"/>
              <w:left w:w="163" w:type="dxa"/>
              <w:bottom w:w="68" w:type="dxa"/>
              <w:right w:w="163" w:type="dxa"/>
            </w:tcMar>
            <w:vAlign w:val="center"/>
            <w:hideMark/>
          </w:tcPr>
          <w:p w:rsidR="00713CB5" w:rsidRPr="00713CB5" w:rsidRDefault="00713CB5" w:rsidP="00713CB5">
            <w:pPr>
              <w:spacing w:after="0" w:line="240" w:lineRule="auto"/>
              <w:rPr>
                <w:rFonts w:ascii="Arial" w:eastAsia="Times New Roman" w:hAnsi="Arial" w:cs="Arial"/>
                <w:color w:val="777777"/>
                <w:sz w:val="1"/>
                <w:szCs w:val="18"/>
                <w:lang w:eastAsia="tr-TR"/>
              </w:rPr>
            </w:pPr>
          </w:p>
        </w:tc>
      </w:tr>
    </w:tbl>
    <w:p w:rsidR="00713CB5" w:rsidRPr="00713CB5" w:rsidRDefault="00713CB5" w:rsidP="00713CB5">
      <w:pPr>
        <w:shd w:val="clear" w:color="auto" w:fill="FFFFFF"/>
        <w:spacing w:after="272" w:line="240" w:lineRule="auto"/>
        <w:jc w:val="center"/>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w:t>
      </w:r>
    </w:p>
    <w:p w:rsidR="00713CB5" w:rsidRPr="00713CB5" w:rsidRDefault="00713CB5" w:rsidP="00713CB5">
      <w:pPr>
        <w:shd w:val="clear" w:color="auto" w:fill="FFFFFF"/>
        <w:spacing w:after="272" w:line="240" w:lineRule="auto"/>
        <w:jc w:val="center"/>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w:t>
      </w:r>
    </w:p>
    <w:p w:rsidR="00713CB5" w:rsidRPr="00713CB5" w:rsidRDefault="00713CB5" w:rsidP="00713CB5">
      <w:pPr>
        <w:shd w:val="clear" w:color="auto" w:fill="FFFFFF"/>
        <w:spacing w:after="272" w:line="240" w:lineRule="auto"/>
        <w:jc w:val="center"/>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w:t>
      </w:r>
    </w:p>
    <w:p w:rsidR="00713CB5" w:rsidRPr="00713CB5" w:rsidRDefault="00713CB5" w:rsidP="00713CB5">
      <w:pPr>
        <w:shd w:val="clear" w:color="auto" w:fill="FFFFFF"/>
        <w:spacing w:after="272" w:line="240" w:lineRule="auto"/>
        <w:jc w:val="both"/>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w:t>
      </w:r>
    </w:p>
    <w:p w:rsidR="00713CB5" w:rsidRPr="00713CB5" w:rsidRDefault="00713CB5" w:rsidP="00713CB5">
      <w:pPr>
        <w:shd w:val="clear" w:color="auto" w:fill="FFFFFF"/>
        <w:spacing w:after="272" w:line="240" w:lineRule="auto"/>
        <w:jc w:val="both"/>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w:t>
      </w:r>
    </w:p>
    <w:p w:rsidR="00713CB5" w:rsidRPr="00713CB5" w:rsidRDefault="00713CB5" w:rsidP="00713CB5">
      <w:pPr>
        <w:shd w:val="clear" w:color="auto" w:fill="FFFFFF"/>
        <w:spacing w:after="272" w:line="240" w:lineRule="auto"/>
        <w:jc w:val="both"/>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xml:space="preserve">            İlgide kayıtlı </w:t>
      </w:r>
      <w:proofErr w:type="spellStart"/>
      <w:r w:rsidRPr="00713CB5">
        <w:rPr>
          <w:rFonts w:ascii="Arial" w:eastAsia="Times New Roman" w:hAnsi="Arial" w:cs="Arial"/>
          <w:color w:val="777777"/>
          <w:sz w:val="18"/>
          <w:szCs w:val="18"/>
          <w:lang w:eastAsia="tr-TR"/>
        </w:rPr>
        <w:t>özelge</w:t>
      </w:r>
      <w:proofErr w:type="spellEnd"/>
      <w:r w:rsidRPr="00713CB5">
        <w:rPr>
          <w:rFonts w:ascii="Arial" w:eastAsia="Times New Roman" w:hAnsi="Arial" w:cs="Arial"/>
          <w:color w:val="777777"/>
          <w:sz w:val="18"/>
          <w:szCs w:val="18"/>
          <w:lang w:eastAsia="tr-TR"/>
        </w:rPr>
        <w:t xml:space="preserve"> talep formunuzda, arsa sahibi adına yapı denetim firmalarına ödenen bedellerin gider yazılıp yazılamayacağı hakkında görüş talep ettiğiniz anlaşılmaktadır.</w:t>
      </w:r>
    </w:p>
    <w:p w:rsidR="00713CB5" w:rsidRPr="00713CB5" w:rsidRDefault="00713CB5" w:rsidP="00713CB5">
      <w:pPr>
        <w:shd w:val="clear" w:color="auto" w:fill="FFFFFF"/>
        <w:spacing w:after="272" w:line="240" w:lineRule="auto"/>
        <w:jc w:val="both"/>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xml:space="preserve">            Bilindiği üzere, 193 sayılı Gelir Vergisi Kanunu'nun 37' </w:t>
      </w:r>
      <w:proofErr w:type="spellStart"/>
      <w:r w:rsidRPr="00713CB5">
        <w:rPr>
          <w:rFonts w:ascii="Arial" w:eastAsia="Times New Roman" w:hAnsi="Arial" w:cs="Arial"/>
          <w:color w:val="777777"/>
          <w:sz w:val="18"/>
          <w:szCs w:val="18"/>
          <w:lang w:eastAsia="tr-TR"/>
        </w:rPr>
        <w:t>nci</w:t>
      </w:r>
      <w:proofErr w:type="spellEnd"/>
      <w:r w:rsidRPr="00713CB5">
        <w:rPr>
          <w:rFonts w:ascii="Arial" w:eastAsia="Times New Roman" w:hAnsi="Arial" w:cs="Arial"/>
          <w:color w:val="777777"/>
          <w:sz w:val="18"/>
          <w:szCs w:val="18"/>
          <w:lang w:eastAsia="tr-TR"/>
        </w:rPr>
        <w:t xml:space="preserve"> maddesinin birinci fıkrasında, her türlü ticari ve sınaî faaliyetlerden doğan kazancın ticari kazanç olduğu ve aynı maddenin ikinci fıkrasının (4) numaralı bendinde ise gayrimenkullerin alım, satım ve inşa işleriyle devamlı olarak uğraşanların bu işlerinden elde ettikleri kazancın ticari kazanç olduğu hükme bağlanmıştır.</w:t>
      </w:r>
    </w:p>
    <w:p w:rsidR="00713CB5" w:rsidRPr="00713CB5" w:rsidRDefault="00713CB5" w:rsidP="00713CB5">
      <w:pPr>
        <w:shd w:val="clear" w:color="auto" w:fill="FFFFFF"/>
        <w:spacing w:after="272" w:line="240" w:lineRule="auto"/>
        <w:jc w:val="both"/>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Yine aynı Kanun'un 40'ıncı maddesinin birinci fıkrasında, ticari kazancın elde edilmesi ve idame ettirilmesi için yapılan genel giderlerin, ticari kazancın tespitinde gider olarak indirilebileceği hüküm altına alınmış olup, bu kapsamda indirilebilecek giderler, işletme ile ilgili olan ve kazancın elde edilmesi ve idamesi için yapılan giderlerdir.</w:t>
      </w:r>
    </w:p>
    <w:p w:rsidR="00713CB5" w:rsidRPr="00713CB5" w:rsidRDefault="00713CB5" w:rsidP="00713CB5">
      <w:pPr>
        <w:shd w:val="clear" w:color="auto" w:fill="FFFFFF"/>
        <w:spacing w:after="272" w:line="240" w:lineRule="auto"/>
        <w:jc w:val="both"/>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Öte yandan, 4708 sayılı Yapı Denetimi Hakkında Kanunu'nun 2'nci maddesinin birinci fıkrasında, yapı denetim hizmetinin yapı denetim kuruluşu ile yapı sahibi veya vekili arasında akdedilen hizmet sözleşmesi hükümlerine göre yürütüleceği ve yapı sahibinin yapım işi için anlaşma yaptığı yapı müteahhidini vekil olarak tayin edemeyeceği, aynı Kanun'un 5'inci maddesinin birinci fıkrasında ise yapı denetim hizmet sözleşmelerinin yapı sahibi ile yapı denetim kuruluşu arasında akdedileceği hükme bağlanmıştır.</w:t>
      </w:r>
    </w:p>
    <w:p w:rsidR="00713CB5" w:rsidRPr="00713CB5" w:rsidRDefault="00713CB5" w:rsidP="00713CB5">
      <w:pPr>
        <w:shd w:val="clear" w:color="auto" w:fill="FFFFFF"/>
        <w:spacing w:after="272" w:line="240" w:lineRule="auto"/>
        <w:jc w:val="both"/>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Diğer taraftan, 213 sayılı Vergi Usul Kanunu'nun 227'nci maddesinde, bu Kanun'da aksine hüküm olmadıkça bu Kanun'a göre tutulan ve üçüncü şahıslarla olan münasebet ve muamelelere ait olan kayıtların tevsikinin mecburi olduğu; 229'uncu maddesinde, faturanın, satılan emtia veya yapılan iş karşılığında müşterinin borçlandığı meblağı göstermek üzere emtiayı satan veya işi yapan tüccar tarafından müşteriye verilen ticari vesika olduğu; 230'uncu maddesinin birinci fıkrasının (3) numaralı bendinde de, faturaya müşterinin adı, ticaret unvanı, adresi, varsa vergi dairesi ve hesap numarasının yazılmasının mecburi olduğu hükme bağlanmıştır.</w:t>
      </w:r>
    </w:p>
    <w:p w:rsidR="00713CB5" w:rsidRPr="00713CB5" w:rsidRDefault="00713CB5" w:rsidP="00713CB5">
      <w:pPr>
        <w:shd w:val="clear" w:color="auto" w:fill="FFFFFF"/>
        <w:spacing w:after="272" w:line="240" w:lineRule="auto"/>
        <w:jc w:val="both"/>
        <w:rPr>
          <w:rFonts w:ascii="Arial" w:eastAsia="Times New Roman" w:hAnsi="Arial" w:cs="Arial"/>
          <w:color w:val="777777"/>
          <w:sz w:val="18"/>
          <w:szCs w:val="18"/>
          <w:lang w:eastAsia="tr-TR"/>
        </w:rPr>
      </w:pPr>
      <w:r w:rsidRPr="00713CB5">
        <w:rPr>
          <w:rFonts w:ascii="Arial" w:eastAsia="Times New Roman" w:hAnsi="Arial" w:cs="Arial"/>
          <w:color w:val="000000"/>
          <w:sz w:val="18"/>
          <w:szCs w:val="18"/>
          <w:lang w:eastAsia="tr-TR"/>
        </w:rPr>
        <w:t>            Anılan maddelerdeki müşteri tanımından, malı satın alan veya kendisine iş yapılan gerçek kişi veya tüzel kişi anlaşılmalıdır. Faturanın düzenlenmesinde fatura bedelinin kimin tarafından ödendiği hususu önemli olmayıp, fatura malı satın alan veya kendisine iş yapılan gerçek kişi veya tüzel kişi adına düzenlenmelidir.</w:t>
      </w:r>
    </w:p>
    <w:p w:rsidR="00713CB5" w:rsidRPr="00713CB5" w:rsidRDefault="00713CB5" w:rsidP="00713CB5">
      <w:pPr>
        <w:shd w:val="clear" w:color="auto" w:fill="FFFFFF"/>
        <w:spacing w:after="272" w:line="240" w:lineRule="auto"/>
        <w:jc w:val="both"/>
        <w:rPr>
          <w:rFonts w:ascii="Arial" w:eastAsia="Times New Roman" w:hAnsi="Arial" w:cs="Arial"/>
          <w:color w:val="777777"/>
          <w:sz w:val="18"/>
          <w:szCs w:val="18"/>
          <w:lang w:eastAsia="tr-TR"/>
        </w:rPr>
      </w:pPr>
      <w:r w:rsidRPr="00713CB5">
        <w:rPr>
          <w:rFonts w:ascii="Arial" w:eastAsia="Times New Roman" w:hAnsi="Arial" w:cs="Arial"/>
          <w:color w:val="000000"/>
          <w:sz w:val="18"/>
          <w:szCs w:val="18"/>
          <w:lang w:eastAsia="tr-TR"/>
        </w:rPr>
        <w:lastRenderedPageBreak/>
        <w:t>            Ayrıca, ticari kazancın tespitinde dikkate alınacak giderlerin indirim konusu yapılabilmesi için giderlerin tevsike esas belgelerle belgelendirilmesi ve bu belgelerin mükellef adına düzenlenmesi gerekmektedir.</w:t>
      </w:r>
    </w:p>
    <w:p w:rsidR="00713CB5" w:rsidRPr="00713CB5" w:rsidRDefault="00713CB5" w:rsidP="00713CB5">
      <w:pPr>
        <w:shd w:val="clear" w:color="auto" w:fill="FFFFFF"/>
        <w:spacing w:after="272" w:line="240" w:lineRule="auto"/>
        <w:jc w:val="both"/>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Aynı Kanunun </w:t>
      </w:r>
      <w:r w:rsidRPr="00713CB5">
        <w:rPr>
          <w:rFonts w:ascii="Arial" w:eastAsia="Times New Roman" w:hAnsi="Arial" w:cs="Arial"/>
          <w:i/>
          <w:iCs/>
          <w:color w:val="777777"/>
          <w:sz w:val="18"/>
          <w:lang w:eastAsia="tr-TR"/>
        </w:rPr>
        <w:t>“Mükellef ve Vergi Sorumlusu”</w:t>
      </w:r>
      <w:r w:rsidRPr="00713CB5">
        <w:rPr>
          <w:rFonts w:ascii="Arial" w:eastAsia="Times New Roman" w:hAnsi="Arial" w:cs="Arial"/>
          <w:color w:val="777777"/>
          <w:sz w:val="18"/>
          <w:szCs w:val="18"/>
          <w:lang w:eastAsia="tr-TR"/>
        </w:rPr>
        <w:t> başlıklı 8'inci maddesinin üçüncü fıkrasında, </w:t>
      </w:r>
      <w:r w:rsidRPr="00713CB5">
        <w:rPr>
          <w:rFonts w:ascii="Arial" w:eastAsia="Times New Roman" w:hAnsi="Arial" w:cs="Arial"/>
          <w:i/>
          <w:iCs/>
          <w:color w:val="777777"/>
          <w:sz w:val="18"/>
          <w:lang w:eastAsia="tr-TR"/>
        </w:rPr>
        <w:t>“Vergi kanunlarıyla kabul edilen haller müstesna olmak üzere, mükellefiyete veya vergi sorumluluğuna müteallik özel mukaveleler vergi dairelerini bağlamaz.”</w:t>
      </w:r>
      <w:r w:rsidRPr="00713CB5">
        <w:rPr>
          <w:rFonts w:ascii="Arial" w:eastAsia="Times New Roman" w:hAnsi="Arial" w:cs="Arial"/>
          <w:color w:val="777777"/>
          <w:sz w:val="18"/>
          <w:szCs w:val="18"/>
          <w:lang w:eastAsia="tr-TR"/>
        </w:rPr>
        <w:t> hükmüne yer verilmiştir.</w:t>
      </w:r>
    </w:p>
    <w:p w:rsidR="00713CB5" w:rsidRPr="00713CB5" w:rsidRDefault="00713CB5" w:rsidP="00713CB5">
      <w:pPr>
        <w:shd w:val="clear" w:color="auto" w:fill="FFFFFF"/>
        <w:spacing w:after="272" w:line="240" w:lineRule="auto"/>
        <w:jc w:val="both"/>
        <w:rPr>
          <w:rFonts w:ascii="Arial" w:eastAsia="Times New Roman" w:hAnsi="Arial" w:cs="Arial"/>
          <w:color w:val="777777"/>
          <w:sz w:val="18"/>
          <w:szCs w:val="18"/>
          <w:lang w:eastAsia="tr-TR"/>
        </w:rPr>
      </w:pPr>
      <w:r w:rsidRPr="00713CB5">
        <w:rPr>
          <w:rFonts w:ascii="Arial" w:eastAsia="Times New Roman" w:hAnsi="Arial" w:cs="Arial"/>
          <w:color w:val="777777"/>
          <w:sz w:val="18"/>
          <w:szCs w:val="18"/>
          <w:lang w:eastAsia="tr-TR"/>
        </w:rPr>
        <w:t>            Bu hüküm ve açıklamalara göre, </w:t>
      </w:r>
      <w:r w:rsidRPr="00713CB5">
        <w:rPr>
          <w:rFonts w:ascii="Arial" w:eastAsia="Times New Roman" w:hAnsi="Arial" w:cs="Arial"/>
          <w:color w:val="000000"/>
          <w:sz w:val="18"/>
          <w:szCs w:val="18"/>
          <w:lang w:eastAsia="tr-TR"/>
        </w:rPr>
        <w:t>yapı sahibi ile yapı denetim kuruluşu arasında bir hizmet akdi bulunmasından dolayı, faturanın yapı denetim şirketince hizmet verdiği inşaat ruhsatı olan arsa sahibi adına düzenleneceği tabiidir. Dolayısıyla, ödenen hizmet bedellerine ilişkin (ödeme müteahhit tarafından yapılsa dahi) yapı sahibi adına düzenlenen belgeler müteahhit tarafından gider belgesi olarak kullanılamayacağından faturada yer alan tutarın da gider veya maliyet olarak indirimi mümkün değildir.</w:t>
      </w:r>
    </w:p>
    <w:p w:rsidR="00713CB5" w:rsidRPr="00713CB5" w:rsidRDefault="00713CB5" w:rsidP="00713CB5">
      <w:pPr>
        <w:shd w:val="clear" w:color="auto" w:fill="FFFFFF"/>
        <w:spacing w:after="272" w:line="240" w:lineRule="auto"/>
        <w:jc w:val="both"/>
        <w:rPr>
          <w:rFonts w:ascii="Arial" w:eastAsia="Times New Roman" w:hAnsi="Arial" w:cs="Arial"/>
          <w:color w:val="777777"/>
          <w:sz w:val="18"/>
          <w:szCs w:val="18"/>
          <w:lang w:eastAsia="tr-TR"/>
        </w:rPr>
      </w:pPr>
      <w:r w:rsidRPr="00713CB5">
        <w:rPr>
          <w:rFonts w:ascii="Arial" w:eastAsia="Times New Roman" w:hAnsi="Arial" w:cs="Arial"/>
          <w:color w:val="000000"/>
          <w:sz w:val="18"/>
          <w:szCs w:val="18"/>
          <w:lang w:eastAsia="tr-TR"/>
        </w:rPr>
        <w:t>            Öte yandan, s</w:t>
      </w:r>
      <w:r w:rsidRPr="00713CB5">
        <w:rPr>
          <w:rFonts w:ascii="Arial" w:eastAsia="Times New Roman" w:hAnsi="Arial" w:cs="Arial"/>
          <w:color w:val="777777"/>
          <w:sz w:val="18"/>
          <w:szCs w:val="18"/>
          <w:lang w:eastAsia="tr-TR"/>
        </w:rPr>
        <w:t>öz konusu faturalar üzerinde gösterilen katma değer vergisinin KDV Kanunu'nun 30/d maddesi uyarınca hesaplanan katma değer vergisinden indirilmesine de yasal açıdan imkan bulunmamaktadır.</w:t>
      </w:r>
    </w:p>
    <w:p w:rsidR="00713CB5" w:rsidRPr="00713CB5" w:rsidRDefault="00713CB5" w:rsidP="00713CB5">
      <w:pPr>
        <w:shd w:val="clear" w:color="auto" w:fill="FFFFFF"/>
        <w:spacing w:after="272" w:line="240" w:lineRule="auto"/>
        <w:jc w:val="both"/>
        <w:rPr>
          <w:rFonts w:ascii="Arial" w:eastAsia="Times New Roman" w:hAnsi="Arial" w:cs="Arial"/>
          <w:color w:val="777777"/>
          <w:sz w:val="18"/>
          <w:szCs w:val="18"/>
          <w:lang w:eastAsia="tr-TR"/>
        </w:rPr>
      </w:pPr>
      <w:r w:rsidRPr="00713CB5">
        <w:rPr>
          <w:rFonts w:ascii="Arial" w:eastAsia="Times New Roman" w:hAnsi="Arial" w:cs="Arial"/>
          <w:color w:val="000000"/>
          <w:sz w:val="18"/>
          <w:szCs w:val="18"/>
          <w:lang w:eastAsia="tr-TR"/>
        </w:rPr>
        <w:t> </w:t>
      </w:r>
      <w:r w:rsidRPr="00713CB5">
        <w:rPr>
          <w:rFonts w:ascii="Arial" w:eastAsia="Times New Roman" w:hAnsi="Arial" w:cs="Arial"/>
          <w:color w:val="777777"/>
          <w:sz w:val="18"/>
          <w:szCs w:val="18"/>
          <w:lang w:eastAsia="tr-TR"/>
        </w:rPr>
        <w:t>           Bilgi edinilmesini rica ederim.  </w:t>
      </w:r>
    </w:p>
    <w:p w:rsidR="00787049" w:rsidRDefault="00787049"/>
    <w:sectPr w:rsidR="00787049" w:rsidSect="007870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13CB5"/>
    <w:rsid w:val="00697521"/>
    <w:rsid w:val="006B000C"/>
    <w:rsid w:val="00713CB5"/>
    <w:rsid w:val="007870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0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3C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713CB5"/>
    <w:rPr>
      <w:rFonts w:ascii="Times New Roman" w:eastAsia="Times New Roman" w:hAnsi="Times New Roman" w:cs="Times New Roman"/>
      <w:sz w:val="24"/>
      <w:szCs w:val="24"/>
      <w:lang w:eastAsia="tr-TR"/>
    </w:rPr>
  </w:style>
  <w:style w:type="paragraph" w:customStyle="1" w:styleId="tabloerii">
    <w:name w:val="tabloerii"/>
    <w:basedOn w:val="Normal"/>
    <w:rsid w:val="00713C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13C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13CB5"/>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713CB5"/>
    <w:rPr>
      <w:i/>
      <w:iCs/>
    </w:rPr>
  </w:style>
</w:styles>
</file>

<file path=word/webSettings.xml><?xml version="1.0" encoding="utf-8"?>
<w:webSettings xmlns:r="http://schemas.openxmlformats.org/officeDocument/2006/relationships" xmlns:w="http://schemas.openxmlformats.org/wordprocessingml/2006/main">
  <w:divs>
    <w:div w:id="186070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Company>Hewlett-Packard</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Atabey</dc:creator>
  <cp:lastModifiedBy>HP</cp:lastModifiedBy>
  <cp:revision>2</cp:revision>
  <dcterms:created xsi:type="dcterms:W3CDTF">2018-11-23T07:44:00Z</dcterms:created>
  <dcterms:modified xsi:type="dcterms:W3CDTF">2018-11-23T07:44:00Z</dcterms:modified>
</cp:coreProperties>
</file>